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w10="urn:schemas-microsoft-com:office:word" xmlns:w="http://schemas.openxmlformats.org/wordprocessingml/2006/main" xmlns:v="urn:schemas-microsoft-com:vml" xmlns:wne="http://schemas.microsoft.com/office/word/2006/wordml">
  <w:body>
    <w:tbl>
      <w:tblPr>
        <w:tblStyle w:val="TableStyle0"/>
        <w:tblLayout w:type="fixed"/>
        <w:tblW w:w="0" w:type="auto"/>
        <w:tblLook w:val="04A0"/>
      </w:tblPr>
      <w:tblGrid>
        <w:gridCol w:w="210"/>
        <w:gridCol w:w="840"/>
        <w:gridCol w:w="3150"/>
        <w:gridCol w:w="1496"/>
        <w:gridCol w:w="1457"/>
        <w:gridCol w:w="840"/>
        <w:gridCol w:w="3150"/>
        <w:gridCol w:w="1444"/>
        <w:gridCol w:w="1483"/>
        <w:gridCol w:w="0"/>
      </w:tblGrid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40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-1"/>
            </w:pPr>
            <w:r>
              <w:t/>
            </w:r>
          </w:p>
        </w:tc>
        <w:tc>
          <w:tcPr>
            <w:tcW w:w="315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496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457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tcW w:w="84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315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44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48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gridSpan w:val="8"/>
            <w:tcW w:w="13860" w:type="dxa"/>
            <w:vAlign w:val="center"/>
            <w:shd w:val="clear" w:color="FFFFFF" w:fill="auto"/>
            <w:pPr>
              <w:jc w:val="center"/>
            </w:pPr>
          </w:tcPr>
          <w:p>
            <w:pPr>
              <w:pStyle w:val="1CStyle0"/>
            </w:pPr>
            <w:r>
              <w:t>Акт сверки</w:t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gridSpan w:val="8"/>
            <w:tcW w:w="13860" w:type="dxa"/>
            <w:vAlign w:val="bottom"/>
            <w:shd w:val="clear" w:color="FFFFFF" w:fill="auto"/>
            <w:pPr>
              <w:jc w:val="center"/>
            </w:pPr>
          </w:tcPr>
          <w:p>
            <w:pPr>
              <w:pStyle w:val="1CStyle1"/>
            </w:pPr>
            <w:r>
              <w:t>взаимных расчетов за период с 10.08.2011 по 31.12.2011</w:t>
              <w:br/>
              <w:t>
между Общество с ограниченной ответственностью "КФ Терцет"</w:t>
              <w:br/>
              <w:t>
и Бегарат Фертрибс-унд Сервис ГмбХ</w:t>
              <w:br/>
              <w:t>
по договору контракту № be-m/F 3493 от 05 августа 2011г.</w:t>
            </w:r>
          </w:p>
        </w:tc>
      </w:tr>
      <w:tr>
        <w:trPr>
          <w:trHeight w:val="360" w:hRule="exact"/>
        </w:trP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4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315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496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457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tcW w:w="84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315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44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48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gridSpan w:val="8"/>
            <w:tcW w:w="13860" w:type="dxa"/>
            <w:vAlign w:val="bottom"/>
            <w:shd w:val="clear" w:color="FFFFFF" w:fill="auto"/>
            <w:pPr>
              <w:jc w:val="both"/>
            </w:pPr>
          </w:tcPr>
          <w:p>
            <w:pPr>
              <w:pStyle w:val="1CStyle2"/>
            </w:pPr>
            <w:r>
              <w:t>Мы, нижеподписавшиеся, _______________________ Общество с ограниченной ответственностью "КФ Терцет" __________________________________________, с одной стороны, и ___________________________ Бегарат Фертрибс-унд Сервис ГмбХ _____________________________________________, с другой стороны, составили настоящий акт сверки в том, что состояние взаимных расчетов по данным учета следующее:</w:t>
            </w:r>
          </w:p>
        </w:tc>
      </w:tr>
      <w:tr>
        <w:trPr>
          <w:trHeight w:val="120" w:hRule="exact"/>
        </w:trP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4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315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496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457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4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315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44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48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gridSpan w:val="4"/>
            <w:tcW w:w="6943" w:type="dxa"/>
            <w:vAlign w:val="top"/>
            <w:shd w:val="clear" w:color="FFFFFF" w:fill="auto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3"/>
            </w:pPr>
            <w:r>
              <w:t>По данным Общество с ограниченной ответственностью "КФ Терцет", руб.</w:t>
            </w:r>
          </w:p>
        </w:tc>
        <w:tc>
          <w:tcPr>
            <w:gridSpan w:val="4"/>
            <w:tcW w:w="6917" w:type="dxa"/>
            <w:vAlign w:val="top"/>
            <w:shd w:val="clear" w:color="FFFFFF" w:fill="auto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3"/>
            </w:pPr>
            <w:r>
              <w:t>По данным Бегарат Фертрибс-унд Сервис ГмбХ, руб.</w:t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center"/>
            </w:pPr>
          </w:tcPr>
          <w:p>
            <w:pPr>
              <w:pStyle w:val="1CStyle4"/>
            </w:pPr>
            <w:r>
              <w:t>Дата</w:t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center"/>
            </w:pPr>
          </w:tcPr>
          <w:p>
            <w:pPr>
              <w:pStyle w:val="1CStyle5"/>
            </w:pPr>
            <w:r>
              <w:t>Документ</w:t>
            </w:r>
          </w:p>
        </w:tc>
        <w:tc>
          <w:tcPr>
            <w:tcW w:w="1496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center"/>
            </w:pPr>
          </w:tcPr>
          <w:p>
            <w:pPr>
              <w:pStyle w:val="1CStyle6"/>
            </w:pPr>
            <w:r>
              <w:t>Дебет</w:t>
            </w:r>
          </w:p>
        </w:tc>
        <w:tc>
          <w:tcPr>
            <w:tcW w:w="1457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center"/>
            </w:pPr>
          </w:tcPr>
          <w:p>
            <w:pPr>
              <w:pStyle w:val="1CStyle7"/>
            </w:pPr>
            <w:r>
              <w:t>Кредит</w:t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center"/>
            </w:pPr>
          </w:tcPr>
          <w:p>
            <w:pPr>
              <w:pStyle w:val="1CStyle8"/>
            </w:pPr>
            <w:r>
              <w:t>Дата</w:t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center"/>
            </w:pPr>
          </w:tcPr>
          <w:p>
            <w:pPr>
              <w:pStyle w:val="1CStyle5"/>
            </w:pPr>
            <w:r>
              <w:t>Документ</w:t>
            </w:r>
          </w:p>
        </w:tc>
        <w:tc>
          <w:tcPr>
            <w:tcW w:w="1444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center"/>
            </w:pPr>
          </w:tcPr>
          <w:p>
            <w:pPr>
              <w:pStyle w:val="1CStyle9"/>
            </w:pPr>
            <w:r>
              <w:t>Дебет</w:t>
            </w:r>
          </w:p>
        </w:tc>
        <w:tc>
          <w:tcPr>
            <w:tcW w:w="1483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center"/>
            </w:pPr>
          </w:tcPr>
          <w:p>
            <w:pPr>
              <w:pStyle w:val="1CStyle10"/>
            </w:pPr>
            <w:r>
              <w:t>Кредит</w:t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pPr>
              <w:pStyle w:val="1CStyle11"/>
            </w:pPr>
            <w:r>
              <w:t/>
            </w:r>
          </w:p>
        </w:tc>
        <w:tc>
          <w:tcPr>
            <w:gridSpan w:val="2"/>
            <w:tcW w:w="3990" w:type="dxa"/>
            <w:vAlign w:val="bottom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pPr>
              <w:jc w:val="left"/>
            </w:pPr>
          </w:tcPr>
          <w:p>
            <w:pPr>
              <w:pStyle w:val="1CStyle12"/>
            </w:pPr>
            <w:r>
              <w:t>Сальдо начальное</w:t>
            </w:r>
          </w:p>
        </w:tc>
        <w:tc>
          <w:tcPr>
            <w:tcW w:w="1496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3"/>
            </w:pPr>
            <w:r>
              <w:t/>
            </w:r>
          </w:p>
        </w:tc>
        <w:tc>
          <w:tcPr>
            <w:tcW w:w="1457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/>
            </w:r>
          </w:p>
        </w:tc>
        <w:tc>
          <w:tcPr>
            <w:gridSpan w:val="2"/>
            <w:tcW w:w="3990" w:type="dxa"/>
            <w:vAlign w:val="bottom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pPr>
              <w:jc w:val="left"/>
            </w:pPr>
          </w:tcPr>
          <w:p>
            <w:pPr>
              <w:pStyle w:val="1CStyle15"/>
            </w:pPr>
            <w:r>
              <w:t>Сальдо начальное</w:t>
            </w:r>
          </w:p>
        </w:tc>
        <w:tc>
          <w:tcPr>
            <w:tcW w:w="1444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4"/>
            </w:pPr>
            <w:r>
              <w:t/>
            </w:r>
          </w:p>
        </w:tc>
        <w:tc>
          <w:tcPr>
            <w:tcW w:w="1483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3"/>
            </w:pPr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10.08.11</w:t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>Оплата (10.08.2011)</w:t>
            </w:r>
          </w:p>
        </w:tc>
        <w:tc>
          <w:tcPr>
            <w:tcW w:w="1496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8"/>
            </w:pPr>
            <w:r>
              <w:t>1 693 336,60</w:t>
            </w:r>
          </w:p>
        </w:tc>
        <w:tc>
          <w:tcPr>
            <w:tcW w:w="1457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0"/>
            </w:pPr>
            <w:r>
              <w:t/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/>
            </w:r>
          </w:p>
        </w:tc>
        <w:tc>
          <w:tcPr>
            <w:tcW w:w="1444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1"/>
            </w:pPr>
            <w:r>
              <w:t/>
            </w:r>
          </w:p>
        </w:tc>
        <w:tc>
          <w:tcPr>
            <w:tcW w:w="1483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2"/>
            </w:pPr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16.09.11</w:t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>Оплата (16.09.2011)</w:t>
            </w:r>
          </w:p>
        </w:tc>
        <w:tc>
          <w:tcPr>
            <w:tcW w:w="1496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8"/>
            </w:pPr>
            <w:r>
              <w:t>1 549 530,40</w:t>
            </w:r>
          </w:p>
        </w:tc>
        <w:tc>
          <w:tcPr>
            <w:tcW w:w="1457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0"/>
            </w:pPr>
            <w:r>
              <w:t/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/>
            </w:r>
          </w:p>
        </w:tc>
        <w:tc>
          <w:tcPr>
            <w:tcW w:w="1444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1"/>
            </w:pPr>
            <w:r>
              <w:t/>
            </w:r>
          </w:p>
        </w:tc>
        <w:tc>
          <w:tcPr>
            <w:tcW w:w="1483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2"/>
            </w:pPr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20.09.11</w:t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>Приход (_______ от '  .  .    ') (58 729,29 EUR)</w:t>
            </w:r>
          </w:p>
        </w:tc>
        <w:tc>
          <w:tcPr>
            <w:tcW w:w="1496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8"/>
            </w:pPr>
            <w:r>
              <w:t/>
            </w:r>
          </w:p>
        </w:tc>
        <w:tc>
          <w:tcPr>
            <w:tcW w:w="1457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2 478 716,67</w:t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0"/>
            </w:pPr>
            <w:r>
              <w:t/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/>
            </w:r>
          </w:p>
        </w:tc>
        <w:tc>
          <w:tcPr>
            <w:tcW w:w="1444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1"/>
            </w:pPr>
            <w:r>
              <w:t/>
            </w:r>
          </w:p>
        </w:tc>
        <w:tc>
          <w:tcPr>
            <w:tcW w:w="1483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2"/>
            </w:pPr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30.09.11</w:t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>Курсовые разницы по расчетам в у.е. (30.09.2011)</w:t>
            </w:r>
          </w:p>
        </w:tc>
        <w:tc>
          <w:tcPr>
            <w:tcW w:w="1496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8"/>
            </w:pPr>
            <w:r>
              <w:t/>
            </w:r>
          </w:p>
        </w:tc>
        <w:tc>
          <w:tcPr>
            <w:tcW w:w="1457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70 011,18</w:t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0"/>
            </w:pPr>
            <w:r>
              <w:t/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/>
            </w:r>
          </w:p>
        </w:tc>
        <w:tc>
          <w:tcPr>
            <w:tcW w:w="1444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1"/>
            </w:pPr>
            <w:r>
              <w:t/>
            </w:r>
          </w:p>
        </w:tc>
        <w:tc>
          <w:tcPr>
            <w:tcW w:w="1483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2"/>
            </w:pPr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20.10.11</w:t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>Оплата (20.10.2011)</w:t>
            </w:r>
          </w:p>
        </w:tc>
        <w:tc>
          <w:tcPr>
            <w:tcW w:w="1496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8"/>
            </w:pPr>
            <w:r>
              <w:t>1 871 482,09</w:t>
            </w:r>
          </w:p>
        </w:tc>
        <w:tc>
          <w:tcPr>
            <w:tcW w:w="1457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0"/>
            </w:pPr>
            <w:r>
              <w:t/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/>
            </w:r>
          </w:p>
        </w:tc>
        <w:tc>
          <w:tcPr>
            <w:tcW w:w="1444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1"/>
            </w:pPr>
            <w:r>
              <w:t/>
            </w:r>
          </w:p>
        </w:tc>
        <w:tc>
          <w:tcPr>
            <w:tcW w:w="1483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2"/>
            </w:pPr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21.10.11</w:t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>Курсовые разницы по расчетам в у.е. (21.10.2011)</w:t>
            </w:r>
          </w:p>
        </w:tc>
        <w:tc>
          <w:tcPr>
            <w:tcW w:w="1496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8"/>
            </w:pPr>
            <w:r>
              <w:t>24 202,34</w:t>
            </w:r>
          </w:p>
        </w:tc>
        <w:tc>
          <w:tcPr>
            <w:tcW w:w="1457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0"/>
            </w:pPr>
            <w:r>
              <w:t/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/>
            </w:r>
          </w:p>
        </w:tc>
        <w:tc>
          <w:tcPr>
            <w:tcW w:w="1444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1"/>
            </w:pPr>
            <w:r>
              <w:t/>
            </w:r>
          </w:p>
        </w:tc>
        <w:tc>
          <w:tcPr>
            <w:tcW w:w="1483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2"/>
            </w:pPr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21.10.11</w:t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>Приход (_______ от '  .  .    ') (75 970,71 EUR)</w:t>
            </w:r>
          </w:p>
        </w:tc>
        <w:tc>
          <w:tcPr>
            <w:tcW w:w="1496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8"/>
            </w:pPr>
            <w:r>
              <w:t/>
            </w:r>
          </w:p>
        </w:tc>
        <w:tc>
          <w:tcPr>
            <w:tcW w:w="1457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>3 265 661,75</w:t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0"/>
            </w:pPr>
            <w:r>
              <w:t/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/>
            </w:r>
          </w:p>
        </w:tc>
        <w:tc>
          <w:tcPr>
            <w:tcW w:w="1444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1"/>
            </w:pPr>
            <w:r>
              <w:t/>
            </w:r>
          </w:p>
        </w:tc>
        <w:tc>
          <w:tcPr>
            <w:tcW w:w="1483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2"/>
            </w:pPr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31.10.11</w:t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>Курсовые разницы по расчетам в у.е. (31.10.2011)</w:t>
            </w:r>
          </w:p>
        </w:tc>
        <w:tc>
          <w:tcPr>
            <w:tcW w:w="1496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8"/>
            </w:pPr>
            <w:r>
              <w:t>81 197,16</w:t>
            </w:r>
          </w:p>
        </w:tc>
        <w:tc>
          <w:tcPr>
            <w:tcW w:w="1457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0"/>
            </w:pPr>
            <w:r>
              <w:t/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/>
            </w:r>
          </w:p>
        </w:tc>
        <w:tc>
          <w:tcPr>
            <w:tcW w:w="1444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1"/>
            </w:pPr>
            <w:r>
              <w:t/>
            </w:r>
          </w:p>
        </w:tc>
        <w:tc>
          <w:tcPr>
            <w:tcW w:w="1483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2"/>
            </w:pPr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25.11.11</w:t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>Оплата (25.11.2011)</w:t>
            </w:r>
          </w:p>
        </w:tc>
        <w:tc>
          <w:tcPr>
            <w:tcW w:w="1496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8"/>
            </w:pPr>
            <w:r>
              <w:t>566 193,94</w:t>
            </w:r>
          </w:p>
        </w:tc>
        <w:tc>
          <w:tcPr>
            <w:tcW w:w="1457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0"/>
            </w:pPr>
            <w:r>
              <w:t/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/>
            </w:r>
          </w:p>
        </w:tc>
        <w:tc>
          <w:tcPr>
            <w:tcW w:w="1444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1"/>
            </w:pPr>
            <w:r>
              <w:t/>
            </w:r>
          </w:p>
        </w:tc>
        <w:tc>
          <w:tcPr>
            <w:tcW w:w="1483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2"/>
            </w:pPr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30.11.11</w:t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>Курсовые разницы по расчетам в у.е. (30.11.2011)</w:t>
            </w:r>
          </w:p>
        </w:tc>
        <w:tc>
          <w:tcPr>
            <w:tcW w:w="1496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8"/>
            </w:pPr>
            <w:r>
              <w:t>72 374,31</w:t>
            </w:r>
          </w:p>
        </w:tc>
        <w:tc>
          <w:tcPr>
            <w:tcW w:w="1457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0"/>
            </w:pPr>
            <w:r>
              <w:t/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/>
            </w:r>
          </w:p>
        </w:tc>
        <w:tc>
          <w:tcPr>
            <w:tcW w:w="1444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1"/>
            </w:pPr>
            <w:r>
              <w:t/>
            </w:r>
          </w:p>
        </w:tc>
        <w:tc>
          <w:tcPr>
            <w:tcW w:w="1483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2"/>
            </w:pPr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6"/>
            </w:pPr>
            <w:r>
              <w:t>31.12.11</w:t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>Курсовые разницы по расчетам в у.е. (31.12.2011)</w:t>
            </w:r>
          </w:p>
        </w:tc>
        <w:tc>
          <w:tcPr>
            <w:tcW w:w="1496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8"/>
            </w:pPr>
            <w:r>
              <w:t>23 478,21</w:t>
            </w:r>
          </w:p>
        </w:tc>
        <w:tc>
          <w:tcPr>
            <w:tcW w:w="1457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19"/>
            </w:pPr>
            <w:r>
              <w:t/>
            </w:r>
          </w:p>
        </w:tc>
        <w:tc>
          <w:tcPr>
            <w:tcW w:w="84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0"/>
            </w:pPr>
            <w:r>
              <w:t/>
            </w:r>
          </w:p>
        </w:tc>
        <w:tc>
          <w:tcPr>
            <w:tcW w:w="3150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17"/>
            </w:pPr>
            <w:r>
              <w:t/>
            </w:r>
          </w:p>
        </w:tc>
        <w:tc>
          <w:tcPr>
            <w:tcW w:w="1444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1"/>
            </w:pPr>
            <w:r>
              <w:t/>
            </w:r>
          </w:p>
        </w:tc>
        <w:tc>
          <w:tcPr>
            <w:tcW w:w="1483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2"/>
            </w:pPr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gridSpan w:val="2"/>
            <w:tcW w:w="3990" w:type="dxa"/>
            <w:vAlign w:val="bottom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pPr>
              <w:jc w:val="left"/>
            </w:pPr>
          </w:tcPr>
          <w:p>
            <w:pPr>
              <w:pStyle w:val="1CStyle23"/>
            </w:pPr>
            <w:r>
              <w:t>Обороты за период</w:t>
            </w:r>
          </w:p>
        </w:tc>
        <w:tc>
          <w:tcPr>
            <w:tcW w:w="1496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24"/>
            </w:pPr>
            <w:r>
              <w:t>5 881 795,05</w:t>
            </w:r>
          </w:p>
        </w:tc>
        <w:tc>
          <w:tcPr>
            <w:tcW w:w="1457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25"/>
            </w:pPr>
            <w:r>
              <w:t>5 814 389,60</w:t>
            </w:r>
          </w:p>
        </w:tc>
        <w:tc>
          <w:tcPr>
            <w:gridSpan w:val="2"/>
            <w:tcW w:w="3990" w:type="dxa"/>
            <w:vAlign w:val="bottom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pPr>
              <w:jc w:val="left"/>
            </w:pPr>
          </w:tcPr>
          <w:p>
            <w:pPr>
              <w:pStyle w:val="1CStyle23"/>
            </w:pPr>
            <w:r>
              <w:t>Обороты за период</w:t>
            </w:r>
          </w:p>
        </w:tc>
        <w:tc>
          <w:tcPr>
            <w:tcW w:w="1444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6"/>
            </w:pPr>
            <w:r>
              <w:t/>
            </w:r>
          </w:p>
        </w:tc>
        <w:tc>
          <w:tcPr>
            <w:tcW w:w="1483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27"/>
            </w:pPr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gridSpan w:val="2"/>
            <w:tcW w:w="3990" w:type="dxa"/>
            <w:vAlign w:val="bottom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pPr>
              <w:jc w:val="left"/>
            </w:pPr>
          </w:tcPr>
          <w:p>
            <w:pPr>
              <w:pStyle w:val="1CStyle28"/>
            </w:pPr>
            <w:r>
              <w:t>Сальдо конечное</w:t>
            </w:r>
          </w:p>
        </w:tc>
        <w:tc>
          <w:tcPr>
            <w:tcW w:w="1496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29"/>
            </w:pPr>
            <w:r>
              <w:t>67 405,45</w:t>
            </w:r>
          </w:p>
        </w:tc>
        <w:tc>
          <w:tcPr>
            <w:tcW w:w="1457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right"/>
            </w:pPr>
          </w:tcPr>
          <w:p>
            <w:pPr>
              <w:pStyle w:val="1CStyle29"/>
            </w:pPr>
            <w:r>
              <w:t/>
            </w:r>
          </w:p>
        </w:tc>
        <w:tc>
          <w:tcPr>
            <w:gridSpan w:val="2"/>
            <w:tcW w:w="3990" w:type="dxa"/>
            <w:vAlign w:val="bottom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pPr>
              <w:jc w:val="left"/>
            </w:pPr>
          </w:tcPr>
          <w:p>
            <w:pPr>
              <w:pStyle w:val="1CStyle28"/>
            </w:pPr>
            <w:r>
              <w:t>Сальдо конечное</w:t>
            </w:r>
          </w:p>
        </w:tc>
        <w:tc>
          <w:tcPr>
            <w:tcW w:w="1444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30"/>
            </w:pPr>
            <w:r>
              <w:t/>
            </w:r>
          </w:p>
        </w:tc>
        <w:tc>
          <w:tcPr>
            <w:tcW w:w="1483" w:type="dxa"/>
            <w:vAlign w:val="center"/>
            <w:shd w:val="clear" w:color="FFFFFF" w:fill="auto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pPr>
              <w:jc w:val="left"/>
            </w:pPr>
          </w:tcPr>
          <w:p>
            <w:pPr>
              <w:pStyle w:val="1CStyle30"/>
            </w:pPr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84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315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496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457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tcW w:w="84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315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44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48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</w:tbl>
    <w:tbl>
      <w:tblPr>
        <w:tblStyle w:val="TableStyle1"/>
        <w:tblLayout w:type="fixed"/>
        <w:tblW w:w="0" w:type="auto"/>
        <w:tblLook w:val="04A0"/>
      </w:tblPr>
      <w:tblGrid>
        <w:gridCol w:w="210"/>
        <w:gridCol w:w="3806"/>
        <w:gridCol w:w="1273"/>
        <w:gridCol w:w="1221"/>
        <w:gridCol w:w="446"/>
        <w:gridCol w:w="3754"/>
        <w:gridCol w:w="1260"/>
        <w:gridCol w:w="1260"/>
        <w:gridCol w:w="0"/>
      </w:tblGrid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gridSpan w:val="3"/>
            <w:tcW w:w="6300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31"/>
            </w:pPr>
            <w:r>
              <w:t>По данным Общество с ограниченной ответственностью "КФ Терцет"</w:t>
            </w:r>
          </w:p>
        </w:tc>
        <w:tc>
          <w:tcPr>
            <w:tcW w:w="446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32"/>
            </w:pPr>
            <w:r>
              <w:t/>
            </w:r>
          </w:p>
        </w:tc>
        <w:tc>
          <w:tcPr>
            <w:gridSpan w:val="3"/>
            <w:tcW w:w="6274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33"/>
            </w:pPr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gridSpan w:val="3"/>
            <w:tcW w:w="6300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34"/>
            </w:pPr>
            <w:r>
              <w:t>на 31.12.2011 задолженность в пользу Общество с ограниченной ответственностью "КФ Терцет" 67 405,45 руб.</w:t>
            </w:r>
          </w:p>
        </w:tc>
        <w:tc>
          <w:tcPr>
            <w:tcW w:w="446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32"/>
            </w:pPr>
            <w:r>
              <w:t/>
            </w:r>
          </w:p>
        </w:tc>
        <w:tc>
          <w:tcPr>
            <w:gridSpan w:val="3"/>
            <w:tcW w:w="6274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34"/>
            </w:pPr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gridSpan w:val="7"/>
            <w:tcW w:w="13020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35"/>
            </w:pPr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gridSpan w:val="3"/>
            <w:tcW w:w="6300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36"/>
            </w:pPr>
            <w:r>
              <w:t>От Общество с ограниченной ответственностью "КФ Терцет"</w:t>
            </w:r>
          </w:p>
        </w:tc>
        <w:tc>
          <w:tcPr>
            <w:tcW w:w="446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32"/>
            </w:pPr>
            <w:r>
              <w:t/>
            </w:r>
          </w:p>
        </w:tc>
        <w:tc>
          <w:tcPr>
            <w:gridSpan w:val="3"/>
            <w:tcW w:w="6274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33"/>
            </w:pPr>
            <w:r>
              <w:t>От Бегарат Фертрибс-унд Сервис ГмбХ</w:t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3806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31"/>
            </w:pPr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2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446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37"/>
            </w:pPr>
            <w:r>
              <w:t/>
            </w:r>
          </w:p>
        </w:tc>
        <w:tc>
          <w:tcPr>
            <w:tcW w:w="3754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32"/>
            </w:pPr>
            <w:r>
              <w:t/>
            </w:r>
          </w:p>
        </w:tc>
        <w:tc>
          <w:tcPr>
            <w:tcW w:w="1260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  <w:tc>
          <w:tcPr>
            <w:tcW w:w="1260" w:type="dxa"/>
            <w:vAlign w:val="bottom"/>
            <w:shd w:val="clear" w:color="FFFFFF" w:fill="auto"/>
            <w:pPr>
              <w:jc w:val="left"/>
            </w:pPr>
          </w:tcPr>
          <w:p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gridSpan w:val="3"/>
            <w:tcW w:w="6300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36"/>
            </w:pPr>
            <w:r>
              <w:t>________________</w:t>
            </w:r>
          </w:p>
        </w:tc>
        <w:tc>
          <w:tcPr>
            <w:tcW w:w="446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37"/>
            </w:pPr>
            <w:r>
              <w:t/>
            </w:r>
          </w:p>
        </w:tc>
        <w:tc>
          <w:tcPr>
            <w:gridSpan w:val="3"/>
            <w:tcW w:w="6274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33"/>
            </w:pPr>
            <w:r>
              <w:t>________________</w:t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3806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2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446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375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6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6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3806" w:type="dxa"/>
            <w:vAlign w:val="bottom"/>
            <w:shd w:val="clear" w:color="FFFFFF" w:fill="auto"/>
            <w:tcBorders>
              <w:bottom w:val="sing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gridSpan w:val="2"/>
            <w:tcW w:w="2494" w:type="dxa"/>
            <w:vAlign w:val="bottom"/>
            <w:shd w:val="clear" w:color="FFFFFF" w:fill="auto"/>
            <w:pPr>
              <w:jc w:val="left"/>
            </w:pPr>
          </w:tcPr>
          <w:p>
            <w:pPr>
              <w:pStyle w:val="1CStyle38"/>
            </w:pPr>
            <w:r>
              <w:t>()</w:t>
            </w:r>
          </w:p>
        </w:tc>
        <w:tc>
          <w:tcPr>
            <w:tcW w:w="446" w:type="dxa"/>
            <w:vAlign w:val="bottom"/>
            <w:shd w:val="clear" w:color="FFFFFF" w:fill="auto"/>
            <w:tcBorders>
              <w:bottom w:val="non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tcW w:w="3754" w:type="dxa"/>
            <w:vAlign w:val="bottom"/>
            <w:shd w:val="clear" w:color="FFFFFF" w:fill="auto"/>
            <w:tcBorders>
              <w:bottom w:val="single" w:sz="5" w:space="0" w:color="auto"/>
            </w:tcBorders>
            <w:pPr>
              <w:jc w:val="left"/>
            </w:pPr>
          </w:tcPr>
          <w:p>
            <w:r>
              <w:t/>
            </w:r>
          </w:p>
        </w:tc>
        <w:tc>
          <w:tcPr>
            <w:gridSpan w:val="2"/>
            <w:tcW w:w="2520" w:type="dxa"/>
            <w:vAlign w:val="bottom"/>
            <w:shd w:val="clear" w:color="FFFFFF" w:fill="auto"/>
            <w:pPr>
              <w:jc w:val="left"/>
            </w:pPr>
          </w:tcPr>
          <w:p>
            <w:r>
              <w:t>(_______________________)</w:t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3806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73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21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446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3754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6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tcW w:w="126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</w:tr>
      <w:tr>
        <w:tc>
          <w:tcPr>
            <w:tcW w:w="210" w:type="dxa"/>
            <w:vAlign w:val="bottom"/>
            <w:shd w:val="clear" w:color="FFFFFF" w:fill="auto"/>
            <w:pPr>
              <w:jc w:val="center"/>
            </w:pPr>
          </w:tcPr>
          <w:p>
            <w:r>
              <w:t/>
            </w:r>
          </w:p>
        </w:tc>
        <w:tc>
          <w:tcPr>
            <w:gridSpan w:val="4"/>
            <w:tcW w:w="6746" w:type="dxa"/>
            <w:vAlign w:val="bottom"/>
            <w:shd w:val="clear" w:color="FFFFFF" w:fill="auto"/>
            <w:pPr>
              <w:jc w:val="left"/>
            </w:pPr>
          </w:tcPr>
          <w:p>
            <w:r>
              <w:t>М.П.</w:t>
            </w:r>
          </w:p>
        </w:tc>
        <w:tc>
          <w:tcPr>
            <w:gridSpan w:val="4"/>
            <w:tcW w:w="7258" w:type="dxa"/>
            <w:vAlign w:val="bottom"/>
            <w:shd w:val="clear" w:color="FFFFFF" w:fill="auto"/>
            <w:pPr>
              <w:jc w:val="left"/>
            </w:pPr>
          </w:tcPr>
          <w:p>
            <w:r>
              <w:t>М.П.</w:t>
            </w:r>
          </w:p>
        </w:tc>
      </w:tr>
    </w:tbl>
  </w:body>
</w:document>
</file>

<file path=word/settings.xml><?xml version="1.0" encoding="utf-8"?>
<w:settings xmlns:o="urn:schemas-microsoft-com:office:office" xmlns:r="http://schemas.openxmlformats.org/officeDocument/2006/relationships" xmlns:v="urn:schemas-microsoft-com:vml" xmlns:w10="urn:schemas-microsoft-com:office:word" xmlns:w="http://schemas.openxmlformats.org/wordprocessingml/2006/main" xmlns:sl="http://schemas.openxmlformats.org/schemaLibrary/2006/main">
  <w:view w:val="web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  <w:style w:type="table" w:styleId="TableStyle1">
    <w:name w:val="TableStyle1"/>
    <w:pPr>
      <w:spacing w:after="0" w:line="240" w:lineRule="auto"/>
    </w:pPr>
    <w:rPr>
      <w:rFonts w:ascii="Arial" w:hAnsi="Arial"/>
      <w:sz w:val="16"/>
    </w:rPr>
  </w:style>
  <w:style w:type="paragraph" w:styleId="1CStyle11">
    <w:name w:val="1CStyle11"/>
    <w:basedOn w:val="Normal"/>
    <w:pPr>
      <w:jc w:val="center"/>
      <w:rPr>
        <w:rFonts w:ascii="Arial" w:hAnsi="Arial"/>
        <w:b/>
        <w:sz w:val="16"/>
      </w:rPr>
    </w:pPr>
  </w:style>
  <w:style w:type="paragraph" w:styleId="1CStyle-1">
    <w:name w:val="1CStyle-1"/>
    <w:basedOn w:val="Normal"/>
    <w:pPr>
      <w:jc w:val="center"/>
      <w:rPr>
        <w:rFonts w:ascii="Arial" w:hAnsi="Arial"/>
        <w:b/>
        <w:sz w:val="18"/>
      </w:rPr>
    </w:pPr>
  </w:style>
  <w:style w:type="paragraph" w:styleId="1CStyle23">
    <w:name w:val="1CStyle23"/>
    <w:basedOn w:val="Normal"/>
    <w:pPr>
      <w:jc w:val="center"/>
      <w:rPr>
        <w:rFonts w:ascii="Arial" w:hAnsi="Arial"/>
        <w:b/>
        <w:sz w:val="16"/>
      </w:rPr>
    </w:pPr>
  </w:style>
  <w:style w:type="paragraph" w:styleId="1CStyle38">
    <w:name w:val="1CStyle38"/>
    <w:basedOn w:val="Normal"/>
    <w:pPr>
      <w:wordWrap w:val="1"/>
      <w:jc w:val="center"/>
      <w:rPr/>
    </w:pPr>
  </w:style>
  <w:style w:type="paragraph" w:styleId="1CStyle31">
    <w:name w:val="1CStyle31"/>
    <w:basedOn w:val="Normal"/>
    <w:pPr>
      <w:wordWrap w:val="1"/>
      <w:jc w:val="center"/>
      <w:rPr>
        <w:rFonts w:ascii="Arial" w:hAnsi="Arial"/>
        <w:sz w:val="16"/>
      </w:rPr>
    </w:pPr>
  </w:style>
  <w:style w:type="paragraph" w:styleId="1CStyle34">
    <w:name w:val="1CStyle34"/>
    <w:basedOn w:val="Normal"/>
    <w:pPr>
      <w:wordWrap w:val="1"/>
      <w:jc w:val="center"/>
      <w:rPr>
        <w:rFonts w:ascii="Arial" w:hAnsi="Arial"/>
        <w:b/>
        <w:sz w:val="16"/>
      </w:rPr>
    </w:pPr>
  </w:style>
  <w:style w:type="paragraph" w:styleId="1CStyle37">
    <w:name w:val="1CStyle37"/>
    <w:basedOn w:val="Normal"/>
    <w:pPr>
      <w:wordWrap w:val="0"/>
      <w:jc w:val="center"/>
      <w:rPr>
        <w:rFonts w:ascii="Arial" w:hAnsi="Arial"/>
        <w:sz w:val="16"/>
      </w:rPr>
    </w:pPr>
  </w:style>
  <w:style w:type="paragraph" w:styleId="1CStyle32">
    <w:name w:val="1CStyle32"/>
    <w:basedOn w:val="Normal"/>
    <w:pPr>
      <w:wordWrap w:val="1"/>
      <w:jc w:val="center"/>
      <w:rPr>
        <w:rFonts w:ascii="Arial" w:hAnsi="Arial"/>
        <w:sz w:val="16"/>
      </w:rPr>
    </w:pPr>
  </w:style>
  <w:style w:type="paragraph" w:styleId="1CStyle35">
    <w:name w:val="1CStyle35"/>
    <w:basedOn w:val="Normal"/>
    <w:pPr>
      <w:wordWrap w:val="1"/>
      <w:jc w:val="center"/>
      <w:rPr>
        <w:rFonts w:ascii="Arial" w:hAnsi="Arial"/>
        <w:b/>
        <w:sz w:val="24"/>
      </w:rPr>
    </w:pPr>
  </w:style>
  <w:style w:type="paragraph" w:styleId="1CStyle17">
    <w:name w:val="1CStyle17"/>
    <w:basedOn w:val="Normal"/>
    <w:pPr>
      <w:wordWrap w:val="1"/>
      <w:jc w:val="center"/>
      <w:rPr>
        <w:rFonts w:ascii="Arial" w:hAnsi="Arial"/>
        <w:sz w:val="16"/>
      </w:rPr>
    </w:pPr>
  </w:style>
  <w:style w:type="paragraph" w:styleId="1CStyle4">
    <w:name w:val="1CStyle4"/>
    <w:basedOn w:val="Normal"/>
    <w:pPr>
      <w:wordWrap w:val="0"/>
      <w:jc w:val="center"/>
      <w:rPr>
        <w:rFonts w:ascii="Arial" w:hAnsi="Arial"/>
        <w:b/>
        <w:sz w:val="18"/>
      </w:rPr>
    </w:pPr>
  </w:style>
  <w:style w:type="paragraph" w:styleId="1CStyle8">
    <w:name w:val="1CStyle8"/>
    <w:basedOn w:val="Normal"/>
    <w:pPr>
      <w:wordWrap w:val="0"/>
      <w:jc w:val="center"/>
      <w:rPr>
        <w:rFonts w:ascii="Arial" w:hAnsi="Arial"/>
        <w:b/>
        <w:sz w:val="18"/>
      </w:rPr>
    </w:pPr>
  </w:style>
  <w:style w:type="paragraph" w:styleId="1CStyle5">
    <w:name w:val="1CStyle5"/>
    <w:basedOn w:val="Normal"/>
    <w:pPr>
      <w:wordWrap w:val="0"/>
      <w:jc w:val="center"/>
      <w:rPr>
        <w:rFonts w:ascii="Arial" w:hAnsi="Arial"/>
        <w:b/>
        <w:sz w:val="18"/>
      </w:rPr>
    </w:pPr>
  </w:style>
  <w:style w:type="paragraph" w:styleId="1CStyle6">
    <w:name w:val="1CStyle6"/>
    <w:basedOn w:val="Normal"/>
    <w:pPr>
      <w:wordWrap w:val="0"/>
      <w:jc w:val="center"/>
      <w:rPr>
        <w:rFonts w:ascii="Arial" w:hAnsi="Arial"/>
        <w:b/>
        <w:sz w:val="18"/>
      </w:rPr>
    </w:pPr>
  </w:style>
  <w:style w:type="paragraph" w:styleId="1CStyle9">
    <w:name w:val="1CStyle9"/>
    <w:basedOn w:val="Normal"/>
    <w:pPr>
      <w:wordWrap w:val="0"/>
      <w:jc w:val="center"/>
      <w:rPr>
        <w:rFonts w:ascii="Tahoma" w:hAnsi="Tahoma"/>
        <w:b/>
        <w:sz w:val="20"/>
      </w:rPr>
    </w:pPr>
  </w:style>
  <w:style w:type="paragraph" w:styleId="1CStyle7">
    <w:name w:val="1CStyle7"/>
    <w:basedOn w:val="Normal"/>
    <w:pPr>
      <w:wordWrap w:val="0"/>
      <w:jc w:val="center"/>
      <w:rPr>
        <w:rFonts w:ascii="Arial" w:hAnsi="Arial"/>
        <w:b/>
        <w:sz w:val="18"/>
      </w:rPr>
    </w:pPr>
  </w:style>
  <w:style w:type="paragraph" w:styleId="1CStyle10">
    <w:name w:val="1CStyle10"/>
    <w:basedOn w:val="Normal"/>
    <w:pPr>
      <w:wordWrap w:val="0"/>
      <w:jc w:val="center"/>
      <w:rPr>
        <w:rFonts w:ascii="Tahoma" w:hAnsi="Tahoma"/>
        <w:b/>
        <w:sz w:val="20"/>
      </w:rPr>
    </w:pPr>
  </w:style>
  <w:style w:type="paragraph" w:styleId="1CStyle28">
    <w:name w:val="1CStyle28"/>
    <w:basedOn w:val="Normal"/>
    <w:pPr>
      <w:jc w:val="center"/>
      <w:rPr>
        <w:rFonts w:ascii="Arial" w:hAnsi="Arial"/>
        <w:b/>
        <w:sz w:val="16"/>
      </w:rPr>
    </w:pPr>
  </w:style>
  <w:style w:type="paragraph" w:styleId="1CStyle12">
    <w:name w:val="1CStyle12"/>
    <w:basedOn w:val="Normal"/>
    <w:pPr>
      <w:jc w:val="center"/>
      <w:rPr>
        <w:rFonts w:ascii="Arial" w:hAnsi="Arial"/>
        <w:b/>
        <w:sz w:val="16"/>
      </w:rPr>
    </w:pPr>
  </w:style>
  <w:style w:type="paragraph" w:styleId="1CStyle15">
    <w:name w:val="1CStyle15"/>
    <w:basedOn w:val="Normal"/>
    <w:pPr>
      <w:jc w:val="center"/>
      <w:rPr>
        <w:rFonts w:ascii="Arial" w:hAnsi="Arial"/>
        <w:b/>
        <w:sz w:val="16"/>
      </w:rPr>
    </w:pPr>
  </w:style>
  <w:style w:type="paragraph" w:styleId="1CStyle0">
    <w:name w:val="1CStyle0"/>
    <w:basedOn w:val="Normal"/>
    <w:pPr>
      <w:jc w:val="center"/>
      <w:rPr>
        <w:rFonts w:ascii="Tahoma" w:hAnsi="Tahoma"/>
        <w:b/>
        <w:sz w:val="28"/>
      </w:rPr>
    </w:pPr>
  </w:style>
  <w:style w:type="paragraph" w:styleId="1CStyle36">
    <w:name w:val="1CStyle36"/>
    <w:basedOn w:val="Normal"/>
    <w:pPr>
      <w:wordWrap w:val="1"/>
      <w:jc w:val="center"/>
      <w:rPr>
        <w:rFonts w:ascii="Arial" w:hAnsi="Arial"/>
        <w:sz w:val="16"/>
      </w:rPr>
    </w:pPr>
  </w:style>
  <w:style w:type="paragraph" w:styleId="1CStyle33">
    <w:name w:val="1CStyle33"/>
    <w:basedOn w:val="Normal"/>
    <w:pPr>
      <w:wordWrap w:val="1"/>
      <w:jc w:val="center"/>
      <w:rPr>
        <w:rFonts w:ascii="Arial" w:hAnsi="Arial"/>
        <w:sz w:val="16"/>
      </w:rPr>
    </w:pPr>
  </w:style>
  <w:style w:type="paragraph" w:styleId="1CStyle2">
    <w:name w:val="1CStyle2"/>
    <w:basedOn w:val="Normal"/>
    <w:pPr>
      <w:wordWrap w:val="1"/>
      <w:jc w:val="both"/>
      <w:rPr>
        <w:rFonts w:ascii="Arial" w:hAnsi="Arial"/>
        <w:sz w:val="20"/>
      </w:rPr>
    </w:pPr>
  </w:style>
  <w:style w:type="paragraph" w:styleId="1CStyle1">
    <w:name w:val="1CStyle1"/>
    <w:basedOn w:val="Normal"/>
    <w:pPr>
      <w:wordWrap w:val="1"/>
      <w:jc w:val="center"/>
      <w:rPr>
        <w:rFonts w:ascii="Arial" w:hAnsi="Arial"/>
        <w:sz w:val="20"/>
      </w:rPr>
    </w:pPr>
  </w:style>
  <w:style w:type="paragraph" w:styleId="1CStyle3">
    <w:name w:val="1CStyle3"/>
    <w:basedOn w:val="Normal"/>
    <w:pPr>
      <w:wordWrap w:val="1"/>
      <w:jc w:val="center"/>
      <w:rPr>
        <w:rFonts w:ascii="Arial" w:hAnsi="Arial"/>
        <w:sz w:val="20"/>
      </w:rPr>
    </w:pPr>
  </w:style>
  <w:style w:type="paragraph" w:styleId="1CStyle30">
    <w:name w:val="1CStyle30"/>
    <w:basedOn w:val="Normal"/>
    <w:pPr>
      <w:wordWrap w:val="0"/>
      <w:jc w:val="center"/>
      <w:rPr>
        <w:rFonts w:ascii="Arial" w:hAnsi="Arial"/>
        <w:b/>
        <w:sz w:val="16"/>
      </w:rPr>
    </w:pPr>
  </w:style>
  <w:style w:type="paragraph" w:styleId="1CStyle26">
    <w:name w:val="1CStyle26"/>
    <w:basedOn w:val="Normal"/>
    <w:pPr>
      <w:wordWrap w:val="0"/>
      <w:jc w:val="center"/>
      <w:rPr>
        <w:rFonts w:ascii="Arial" w:hAnsi="Arial"/>
        <w:b/>
        <w:sz w:val="16"/>
      </w:rPr>
    </w:pPr>
  </w:style>
  <w:style w:type="paragraph" w:styleId="1CStyle21">
    <w:name w:val="1CStyle21"/>
    <w:basedOn w:val="Normal"/>
    <w:pPr>
      <w:wordWrap w:val="0"/>
      <w:jc w:val="center"/>
      <w:rPr>
        <w:rFonts w:ascii="Arial" w:hAnsi="Arial"/>
        <w:sz w:val="16"/>
      </w:rPr>
    </w:pPr>
  </w:style>
  <w:style w:type="paragraph" w:styleId="1CStyle27">
    <w:name w:val="1CStyle27"/>
    <w:basedOn w:val="Normal"/>
    <w:pPr>
      <w:wordWrap w:val="0"/>
      <w:jc w:val="center"/>
      <w:rPr>
        <w:rFonts w:ascii="Arial" w:hAnsi="Arial"/>
        <w:b/>
        <w:sz w:val="16"/>
      </w:rPr>
    </w:pPr>
  </w:style>
  <w:style w:type="paragraph" w:styleId="1CStyle22">
    <w:name w:val="1CStyle22"/>
    <w:basedOn w:val="Normal"/>
    <w:pPr>
      <w:wordWrap w:val="0"/>
      <w:jc w:val="center"/>
      <w:rPr>
        <w:rFonts w:ascii="Arial" w:hAnsi="Arial"/>
        <w:sz w:val="16"/>
      </w:rPr>
    </w:pPr>
  </w:style>
  <w:style w:type="paragraph" w:styleId="1CStyle13">
    <w:name w:val="1CStyle13"/>
    <w:basedOn w:val="Normal"/>
    <w:pPr>
      <w:wordWrap w:val="0"/>
      <w:jc w:val="right"/>
      <w:rPr>
        <w:rFonts w:ascii="Arial" w:hAnsi="Arial"/>
        <w:b/>
        <w:sz w:val="16"/>
      </w:rPr>
    </w:pPr>
  </w:style>
  <w:style w:type="paragraph" w:styleId="1CStyle29">
    <w:name w:val="1CStyle29"/>
    <w:basedOn w:val="Normal"/>
    <w:pPr>
      <w:wordWrap w:val="0"/>
      <w:jc w:val="right"/>
      <w:rPr>
        <w:rFonts w:ascii="Arial" w:hAnsi="Arial"/>
        <w:b/>
        <w:sz w:val="16"/>
      </w:rPr>
    </w:pPr>
  </w:style>
  <w:style w:type="paragraph" w:styleId="1CStyle24">
    <w:name w:val="1CStyle24"/>
    <w:basedOn w:val="Normal"/>
    <w:pPr>
      <w:wordWrap w:val="0"/>
      <w:jc w:val="right"/>
      <w:rPr>
        <w:rFonts w:ascii="Arial" w:hAnsi="Arial"/>
        <w:b/>
        <w:sz w:val="16"/>
      </w:rPr>
    </w:pPr>
  </w:style>
  <w:style w:type="paragraph" w:styleId="1CStyle18">
    <w:name w:val="1CStyle18"/>
    <w:basedOn w:val="Normal"/>
    <w:pPr>
      <w:wordWrap w:val="0"/>
      <w:jc w:val="right"/>
      <w:rPr>
        <w:rFonts w:ascii="Arial" w:hAnsi="Arial"/>
        <w:sz w:val="16"/>
      </w:rPr>
    </w:pPr>
  </w:style>
  <w:style w:type="paragraph" w:styleId="1CStyle25">
    <w:name w:val="1CStyle25"/>
    <w:basedOn w:val="Normal"/>
    <w:pPr>
      <w:wordWrap w:val="0"/>
      <w:jc w:val="right"/>
      <w:rPr>
        <w:rFonts w:ascii="Arial" w:hAnsi="Arial"/>
        <w:b/>
        <w:sz w:val="16"/>
      </w:rPr>
    </w:pPr>
  </w:style>
  <w:style w:type="paragraph" w:styleId="1CStyle19">
    <w:name w:val="1CStyle19"/>
    <w:basedOn w:val="Normal"/>
    <w:pPr>
      <w:wordWrap w:val="0"/>
      <w:jc w:val="right"/>
      <w:rPr>
        <w:rFonts w:ascii="Arial" w:hAnsi="Arial"/>
        <w:sz w:val="16"/>
      </w:rPr>
    </w:pPr>
  </w:style>
  <w:style w:type="paragraph" w:styleId="1CStyle14">
    <w:name w:val="1CStyle14"/>
    <w:basedOn w:val="Normal"/>
    <w:pPr>
      <w:wordWrap w:val="0"/>
      <w:jc w:val="right"/>
      <w:rPr>
        <w:rFonts w:ascii="Arial" w:hAnsi="Arial"/>
        <w:b/>
        <w:sz w:val="16"/>
      </w:rPr>
    </w:pPr>
  </w:style>
  <w:style w:type="paragraph" w:styleId="1CStyle16">
    <w:name w:val="1CStyle16"/>
    <w:basedOn w:val="Normal"/>
    <w:pPr>
      <w:wordWrap w:val="1"/>
      <w:jc w:val="center"/>
      <w:rPr>
        <w:rFonts w:ascii="Arial" w:hAnsi="Arial"/>
        <w:sz w:val="16"/>
      </w:rPr>
    </w:pPr>
  </w:style>
  <w:style w:type="paragraph" w:styleId="1CStyle20">
    <w:name w:val="1CStyle20"/>
    <w:basedOn w:val="Normal"/>
    <w:pPr>
      <w:wordWrap w:val="1"/>
      <w:jc w:val="center"/>
      <w:rPr>
        <w:rFonts w:ascii="Arial" w:hAnsi="Arial"/>
        <w:sz w:val="16"/>
      </w:rPr>
    </w:p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</Relationships>
</file>