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29764F">
      <w:pPr>
        <w:rPr>
          <w:rFonts w:eastAsia="Times New Roman"/>
        </w:rPr>
      </w:pPr>
      <w:r>
        <w:rPr>
          <w:rFonts w:eastAsia="Times New Roman"/>
        </w:rPr>
        <w:t>Журнал «Учет. Налоги. Право» № 5, Февраль 201</w:t>
      </w:r>
      <w:r>
        <w:rPr>
          <w:rFonts w:eastAsia="Times New Roman"/>
        </w:rPr>
        <w:t>5</w:t>
      </w:r>
    </w:p>
    <w:p w:rsidR="00000000" w:rsidRDefault="0029764F">
      <w:pPr>
        <w:pStyle w:val="Heading1"/>
        <w:rPr>
          <w:rFonts w:eastAsia="Times New Roman"/>
          <w:color w:val="000000"/>
        </w:rPr>
      </w:pPr>
      <w:r>
        <w:rPr>
          <w:rFonts w:eastAsia="Times New Roman"/>
          <w:color w:val="000000"/>
        </w:rPr>
        <w:t>Быстрый справочник по учету финансовой помощи от учредителя</w:t>
      </w:r>
    </w:p>
    <w:p w:rsidR="00000000" w:rsidRDefault="0029764F">
      <w:pPr>
        <w:pStyle w:val="NormalWeb"/>
      </w:pPr>
      <w:r>
        <w:t>В сложной экономической ситуации у компаний часто не </w:t>
      </w:r>
      <w:r>
        <w:t xml:space="preserve">хватает оборотных средств, кредиты сейчас слишком дорогие. Тогда профинансировать компанию могут ее учредители. Есть несколько способов, при помощи которых участник может передать деньги либо имущество. Чтобы выбрать подходящий, стоит оценить преимущества </w:t>
      </w:r>
      <w:r>
        <w:t>и недостатки каждого. На практике популярностью пользуются пять способов (см. таблицу).</w:t>
      </w:r>
    </w:p>
    <w:p w:rsidR="00000000" w:rsidRDefault="0029764F">
      <w:pPr>
        <w:pStyle w:val="Heading6"/>
        <w:rPr>
          <w:rFonts w:eastAsia="Times New Roman"/>
        </w:rPr>
      </w:pPr>
      <w:r>
        <w:rPr>
          <w:rFonts w:eastAsia="Times New Roman"/>
        </w:rPr>
        <w:t>Как учредитель может помочь компании</w:t>
      </w:r>
    </w:p>
    <w:tbl>
      <w:tblPr>
        <w:tblW w:w="12000" w:type="dxa"/>
        <w:tblCellSpacing w:w="15" w:type="dxa"/>
        <w:tblCellMar>
          <w:top w:w="15" w:type="dxa"/>
          <w:left w:w="15" w:type="dxa"/>
          <w:bottom w:w="15" w:type="dxa"/>
          <w:right w:w="15" w:type="dxa"/>
        </w:tblCellMar>
        <w:tblLook w:val="04A0"/>
      </w:tblPr>
      <w:tblGrid>
        <w:gridCol w:w="2358"/>
        <w:gridCol w:w="5376"/>
        <w:gridCol w:w="4266"/>
      </w:tblGrid>
      <w:tr w:rsidR="00000000">
        <w:trPr>
          <w:tblHeader/>
          <w:tblCellSpacing w:w="15" w:type="dxa"/>
        </w:trPr>
        <w:tc>
          <w:tcPr>
            <w:tcW w:w="0" w:type="auto"/>
            <w:vAlign w:val="center"/>
            <w:hideMark/>
          </w:tcPr>
          <w:p w:rsidR="00000000" w:rsidRDefault="0029764F">
            <w:pPr>
              <w:jc w:val="center"/>
              <w:rPr>
                <w:rFonts w:eastAsia="Times New Roman"/>
                <w:b/>
                <w:bCs/>
              </w:rPr>
            </w:pPr>
            <w:r>
              <w:rPr>
                <w:rFonts w:eastAsia="Times New Roman"/>
                <w:b/>
                <w:bCs/>
              </w:rPr>
              <w:t>Способ</w:t>
            </w:r>
          </w:p>
        </w:tc>
        <w:tc>
          <w:tcPr>
            <w:tcW w:w="2250" w:type="pct"/>
            <w:vAlign w:val="center"/>
            <w:hideMark/>
          </w:tcPr>
          <w:p w:rsidR="00000000" w:rsidRDefault="0029764F">
            <w:pPr>
              <w:jc w:val="center"/>
              <w:rPr>
                <w:rFonts w:eastAsia="Times New Roman"/>
                <w:b/>
                <w:bCs/>
              </w:rPr>
            </w:pPr>
            <w:r>
              <w:rPr>
                <w:rFonts w:eastAsia="Times New Roman"/>
                <w:b/>
                <w:bCs/>
              </w:rPr>
              <w:t>Плюсы и минусы</w:t>
            </w:r>
          </w:p>
        </w:tc>
        <w:tc>
          <w:tcPr>
            <w:tcW w:w="0" w:type="auto"/>
            <w:vAlign w:val="center"/>
            <w:hideMark/>
          </w:tcPr>
          <w:p w:rsidR="00000000" w:rsidRDefault="0029764F">
            <w:pPr>
              <w:jc w:val="center"/>
              <w:rPr>
                <w:rFonts w:eastAsia="Times New Roman"/>
                <w:b/>
                <w:bCs/>
              </w:rPr>
            </w:pPr>
            <w:r>
              <w:rPr>
                <w:rFonts w:eastAsia="Times New Roman"/>
                <w:b/>
                <w:bCs/>
              </w:rPr>
              <w:t>Как оформить операцию</w:t>
            </w:r>
          </w:p>
        </w:tc>
      </w:tr>
      <w:tr w:rsidR="00000000">
        <w:trPr>
          <w:tblCellSpacing w:w="15" w:type="dxa"/>
        </w:trPr>
        <w:tc>
          <w:tcPr>
            <w:tcW w:w="0" w:type="auto"/>
            <w:vMerge w:val="restart"/>
            <w:vAlign w:val="center"/>
            <w:hideMark/>
          </w:tcPr>
          <w:p w:rsidR="00000000" w:rsidRDefault="0029764F">
            <w:pPr>
              <w:rPr>
                <w:rFonts w:eastAsia="Times New Roman"/>
              </w:rPr>
            </w:pPr>
            <w:r>
              <w:rPr>
                <w:rFonts w:eastAsia="Times New Roman"/>
              </w:rPr>
              <w:t>Учредитель дарит деньги</w:t>
            </w:r>
          </w:p>
        </w:tc>
        <w:tc>
          <w:tcPr>
            <w:tcW w:w="0" w:type="auto"/>
            <w:vAlign w:val="center"/>
            <w:hideMark/>
          </w:tcPr>
          <w:p w:rsidR="00000000" w:rsidRDefault="0029764F">
            <w:pPr>
              <w:pStyle w:val="NormalWeb"/>
            </w:pPr>
            <w:r>
              <w:rPr>
                <w:noProof/>
              </w:rPr>
              <w:drawing>
                <wp:inline distT="0" distB="0" distL="0" distR="0">
                  <wp:extent cx="190500" cy="190500"/>
                  <wp:effectExtent l="19050" t="0" r="0" b="0"/>
                  <wp:docPr id="1" name="Picture 1" descr="http://e.profkiosk.ru/service_tbn2/dm4jq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profkiosk.ru/service_tbn2/dm4jqs.jpg"/>
                          <pic:cNvPicPr>
                            <a:picLocks noChangeAspect="1" noChangeArrowheads="1"/>
                          </pic:cNvPicPr>
                        </pic:nvPicPr>
                        <pic:blipFill>
                          <a:blip r:link="rId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t>Деньги не увеличивают доходы, если доля участника в уставном капитале боль</w:t>
            </w:r>
            <w:r>
              <w:t>ше 50 процентов.</w:t>
            </w:r>
          </w:p>
          <w:p w:rsidR="00000000" w:rsidRDefault="0029764F">
            <w:pPr>
              <w:pStyle w:val="NormalWeb"/>
            </w:pPr>
            <w:r>
              <w:rPr>
                <w:noProof/>
              </w:rPr>
              <w:drawing>
                <wp:inline distT="0" distB="0" distL="0" distR="0">
                  <wp:extent cx="190500" cy="190500"/>
                  <wp:effectExtent l="19050" t="0" r="0" b="0"/>
                  <wp:docPr id="2" name="Picture 2" descr="http://e.profkiosk.ru/service_tbn2/dm4jq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e.profkiosk.ru/service_tbn2/dm4jqs.jpg"/>
                          <pic:cNvPicPr>
                            <a:picLocks noChangeAspect="1" noChangeArrowheads="1"/>
                          </pic:cNvPicPr>
                        </pic:nvPicPr>
                        <pic:blipFill>
                          <a:blip r:link="rId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t xml:space="preserve">Все расходы, на которые потратили помощь, можно списать </w:t>
            </w:r>
            <w:r>
              <w:t>(</w:t>
            </w:r>
            <w:hyperlink r:id="rId5" w:anchor="/document/99/902336294/" w:history="1">
              <w:r>
                <w:rPr>
                  <w:rStyle w:val="Hyperlink"/>
                </w:rPr>
                <w:t>письмо Минфина России от 20.03.12 № 03-03-06/1/142</w:t>
              </w:r>
            </w:hyperlink>
            <w:r>
              <w:t>).</w:t>
            </w:r>
          </w:p>
        </w:tc>
        <w:tc>
          <w:tcPr>
            <w:tcW w:w="0" w:type="auto"/>
            <w:vMerge w:val="restart"/>
            <w:vAlign w:val="center"/>
            <w:hideMark/>
          </w:tcPr>
          <w:p w:rsidR="00000000" w:rsidRDefault="0029764F">
            <w:pPr>
              <w:rPr>
                <w:rFonts w:eastAsia="Times New Roman"/>
              </w:rPr>
            </w:pPr>
            <w:r>
              <w:rPr>
                <w:rFonts w:eastAsia="Times New Roman"/>
              </w:rPr>
              <w:t>Внести деньги учредитель может в кассу наличными либо перечислить на банковский счет. Письменный договор дарения составлять не обязательн</w:t>
            </w:r>
            <w:r>
              <w:rPr>
                <w:rFonts w:eastAsia="Times New Roman"/>
              </w:rPr>
              <w:t>о</w:t>
            </w:r>
          </w:p>
        </w:tc>
      </w:tr>
      <w:tr w:rsidR="00000000">
        <w:trPr>
          <w:tblCellSpacing w:w="15" w:type="dxa"/>
        </w:trPr>
        <w:tc>
          <w:tcPr>
            <w:tcW w:w="0" w:type="auto"/>
            <w:vMerge/>
            <w:vAlign w:val="center"/>
            <w:hideMark/>
          </w:tcPr>
          <w:p w:rsidR="00000000" w:rsidRDefault="0029764F">
            <w:pPr>
              <w:rPr>
                <w:rFonts w:eastAsia="Times New Roman"/>
              </w:rPr>
            </w:pPr>
          </w:p>
        </w:tc>
        <w:tc>
          <w:tcPr>
            <w:tcW w:w="0" w:type="auto"/>
            <w:vAlign w:val="center"/>
            <w:hideMark/>
          </w:tcPr>
          <w:p w:rsidR="00000000" w:rsidRDefault="0029764F">
            <w:pPr>
              <w:rPr>
                <w:rFonts w:eastAsia="Times New Roman"/>
              </w:rPr>
            </w:pPr>
            <w:r>
              <w:rPr>
                <w:rFonts w:eastAsia="Times New Roman"/>
                <w:noProof/>
              </w:rPr>
              <w:drawing>
                <wp:inline distT="0" distB="0" distL="0" distR="0">
                  <wp:extent cx="190500" cy="190500"/>
                  <wp:effectExtent l="19050" t="0" r="0" b="0"/>
                  <wp:docPr id="3" name="Picture 3" descr="http://e.profkiosk.ru/service_tbn2/rchb1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e.profkiosk.ru/service_tbn2/rchb1q.jpg"/>
                          <pic:cNvPicPr>
                            <a:picLocks noChangeAspect="1" noChangeArrowheads="1"/>
                          </pic:cNvPicPr>
                        </pic:nvPicPr>
                        <pic:blipFill>
                          <a:blip r:link="rId6"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Pr>
                <w:rFonts w:eastAsia="Times New Roman"/>
              </w:rPr>
              <w:t>Надо учесть доходы, если деньги передает участник с долей ниже 50 процентов</w:t>
            </w:r>
          </w:p>
        </w:tc>
        <w:tc>
          <w:tcPr>
            <w:tcW w:w="0" w:type="auto"/>
            <w:vMerge/>
            <w:vAlign w:val="center"/>
            <w:hideMark/>
          </w:tcPr>
          <w:p w:rsidR="00000000" w:rsidRDefault="0029764F">
            <w:pPr>
              <w:rPr>
                <w:rFonts w:eastAsia="Times New Roman"/>
              </w:rPr>
            </w:pPr>
          </w:p>
        </w:tc>
      </w:tr>
      <w:tr w:rsidR="00000000">
        <w:trPr>
          <w:tblCellSpacing w:w="15" w:type="dxa"/>
        </w:trPr>
        <w:tc>
          <w:tcPr>
            <w:tcW w:w="0" w:type="auto"/>
            <w:vMerge w:val="restart"/>
            <w:vAlign w:val="center"/>
            <w:hideMark/>
          </w:tcPr>
          <w:p w:rsidR="00000000" w:rsidRDefault="0029764F">
            <w:pPr>
              <w:rPr>
                <w:rFonts w:eastAsia="Times New Roman"/>
              </w:rPr>
            </w:pPr>
            <w:r>
              <w:rPr>
                <w:rFonts w:eastAsia="Times New Roman"/>
              </w:rPr>
              <w:t>Учредитель передает имущество безвозмездно</w:t>
            </w:r>
          </w:p>
        </w:tc>
        <w:tc>
          <w:tcPr>
            <w:tcW w:w="0" w:type="auto"/>
            <w:vAlign w:val="center"/>
            <w:hideMark/>
          </w:tcPr>
          <w:p w:rsidR="00000000" w:rsidRDefault="0029764F">
            <w:pPr>
              <w:rPr>
                <w:rFonts w:eastAsia="Times New Roman"/>
              </w:rPr>
            </w:pPr>
            <w:r>
              <w:rPr>
                <w:rFonts w:eastAsia="Times New Roman"/>
                <w:noProof/>
              </w:rPr>
              <w:drawing>
                <wp:inline distT="0" distB="0" distL="0" distR="0">
                  <wp:extent cx="190500" cy="190500"/>
                  <wp:effectExtent l="19050" t="0" r="0" b="0"/>
                  <wp:docPr id="4" name="Picture 4" descr="http://e.profkiosk.ru/service_tbn2/dm4jq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e.profkiosk.ru/service_tbn2/dm4jqs.jpg"/>
                          <pic:cNvPicPr>
                            <a:picLocks noChangeAspect="1" noChangeArrowheads="1"/>
                          </pic:cNvPicPr>
                        </pic:nvPicPr>
                        <pic:blipFill>
                          <a:blip r:link="rId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Pr>
                <w:rFonts w:eastAsia="Times New Roman"/>
              </w:rPr>
              <w:t>Стоимость имущества не увеличивают доходы, если его передал участник с долей больше 50 процентов.</w:t>
            </w:r>
          </w:p>
        </w:tc>
        <w:tc>
          <w:tcPr>
            <w:tcW w:w="0" w:type="auto"/>
            <w:vMerge w:val="restart"/>
            <w:vAlign w:val="center"/>
            <w:hideMark/>
          </w:tcPr>
          <w:p w:rsidR="00000000" w:rsidRDefault="0029764F">
            <w:pPr>
              <w:rPr>
                <w:rFonts w:eastAsia="Times New Roman"/>
              </w:rPr>
            </w:pPr>
            <w:r>
              <w:rPr>
                <w:rFonts w:eastAsia="Times New Roman"/>
              </w:rPr>
              <w:t>Надо составит</w:t>
            </w:r>
            <w:r>
              <w:rPr>
                <w:rFonts w:eastAsia="Times New Roman"/>
              </w:rPr>
              <w:t>ь договор дарения имущества (</w:t>
            </w:r>
            <w:hyperlink r:id="rId7" w:anchor="/document/99/420265581/XA00M862ML/" w:history="1">
              <w:r>
                <w:rPr>
                  <w:rStyle w:val="Hyperlink"/>
                  <w:rFonts w:eastAsia="Times New Roman"/>
                </w:rPr>
                <w:t>п. 1 ст. 572 ГК РФ</w:t>
              </w:r>
            </w:hyperlink>
            <w:r>
              <w:rPr>
                <w:rFonts w:eastAsia="Times New Roman"/>
              </w:rPr>
              <w:t>). На практике компании оформляют акт безвозмездной передачи. Этого документа достаточно для принятия актива к учету</w:t>
            </w:r>
          </w:p>
        </w:tc>
      </w:tr>
      <w:tr w:rsidR="00000000">
        <w:trPr>
          <w:tblCellSpacing w:w="15" w:type="dxa"/>
        </w:trPr>
        <w:tc>
          <w:tcPr>
            <w:tcW w:w="0" w:type="auto"/>
            <w:vMerge/>
            <w:vAlign w:val="center"/>
            <w:hideMark/>
          </w:tcPr>
          <w:p w:rsidR="00000000" w:rsidRDefault="0029764F">
            <w:pPr>
              <w:rPr>
                <w:rFonts w:eastAsia="Times New Roman"/>
              </w:rPr>
            </w:pPr>
          </w:p>
        </w:tc>
        <w:tc>
          <w:tcPr>
            <w:tcW w:w="0" w:type="auto"/>
            <w:vAlign w:val="center"/>
            <w:hideMark/>
          </w:tcPr>
          <w:p w:rsidR="00000000" w:rsidRDefault="0029764F">
            <w:pPr>
              <w:pStyle w:val="NormalWeb"/>
            </w:pPr>
            <w:r>
              <w:rPr>
                <w:noProof/>
              </w:rPr>
              <w:drawing>
                <wp:inline distT="0" distB="0" distL="0" distR="0">
                  <wp:extent cx="190500" cy="190500"/>
                  <wp:effectExtent l="19050" t="0" r="0" b="0"/>
                  <wp:docPr id="5" name="Picture 5" descr="http://e.profkiosk.ru/service_tbn2/ojslr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e.profkiosk.ru/service_tbn2/ojslrx.gif"/>
                          <pic:cNvPicPr>
                            <a:picLocks noChangeAspect="1" noChangeArrowheads="1"/>
                          </pic:cNvPicPr>
                        </pic:nvPicPr>
                        <pic:blipFill>
                          <a:blip r:link="rId8"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t>Подарок нельзя продать или сдать в аренду в течение года, иначе рыночную стоимость надо включить в доходы (</w:t>
            </w:r>
            <w:hyperlink r:id="rId9" w:anchor="/document/99/902326358/" w:history="1">
              <w:r>
                <w:rPr>
                  <w:rStyle w:val="Hyperlink"/>
                </w:rPr>
                <w:t>письмо Минфина России от 30.01.12 № 03-11-06/2/11</w:t>
              </w:r>
            </w:hyperlink>
            <w:r>
              <w:t>).</w:t>
            </w:r>
          </w:p>
          <w:p w:rsidR="00000000" w:rsidRDefault="0029764F">
            <w:pPr>
              <w:pStyle w:val="NormalWeb"/>
            </w:pPr>
            <w:r>
              <w:rPr>
                <w:noProof/>
              </w:rPr>
              <w:drawing>
                <wp:inline distT="0" distB="0" distL="0" distR="0">
                  <wp:extent cx="190500" cy="190500"/>
                  <wp:effectExtent l="19050" t="0" r="0" b="0"/>
                  <wp:docPr id="6" name="Picture 6" descr="http://e.profkiosk.ru/service_tbn2/ojslr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e.profkiosk.ru/service_tbn2/ojslrx.gif"/>
                          <pic:cNvPicPr>
                            <a:picLocks noChangeAspect="1" noChangeArrowheads="1"/>
                          </pic:cNvPicPr>
                        </pic:nvPicPr>
                        <pic:blipFill>
                          <a:blip r:link="rId8"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t xml:space="preserve">Актив можно амортизировать или списать в расходы, только если стоимость </w:t>
            </w:r>
            <w:r>
              <w:t>учли в доходах (</w:t>
            </w:r>
            <w:hyperlink r:id="rId10" w:anchor="/document/99/420253854/XA00MA22NG/" w:history="1">
              <w:r>
                <w:rPr>
                  <w:rStyle w:val="Hyperlink"/>
                </w:rPr>
                <w:t>п. 2 ст. 254 НК РФ</w:t>
              </w:r>
            </w:hyperlink>
            <w:r>
              <w:t xml:space="preserve">, </w:t>
            </w:r>
            <w:hyperlink r:id="rId11" w:anchor="/document/99/902362212/" w:history="1">
              <w:r>
                <w:rPr>
                  <w:rStyle w:val="Hyperlink"/>
                </w:rPr>
                <w:t>письмо Минфина России от 27.07.12 № 03-07-11/197</w:t>
              </w:r>
            </w:hyperlink>
            <w:r>
              <w:t>)</w:t>
            </w:r>
          </w:p>
        </w:tc>
        <w:tc>
          <w:tcPr>
            <w:tcW w:w="0" w:type="auto"/>
            <w:vMerge/>
            <w:vAlign w:val="center"/>
            <w:hideMark/>
          </w:tcPr>
          <w:p w:rsidR="00000000" w:rsidRDefault="0029764F">
            <w:pPr>
              <w:rPr>
                <w:rFonts w:eastAsia="Times New Roman"/>
              </w:rPr>
            </w:pPr>
          </w:p>
        </w:tc>
      </w:tr>
      <w:tr w:rsidR="00000000">
        <w:trPr>
          <w:tblCellSpacing w:w="15" w:type="dxa"/>
        </w:trPr>
        <w:tc>
          <w:tcPr>
            <w:tcW w:w="0" w:type="auto"/>
            <w:vMerge w:val="restart"/>
            <w:vAlign w:val="center"/>
            <w:hideMark/>
          </w:tcPr>
          <w:p w:rsidR="00000000" w:rsidRDefault="0029764F">
            <w:pPr>
              <w:rPr>
                <w:rFonts w:eastAsia="Times New Roman"/>
              </w:rPr>
            </w:pPr>
            <w:r>
              <w:rPr>
                <w:rFonts w:eastAsia="Times New Roman"/>
              </w:rPr>
              <w:t>Учредитель передает деньги</w:t>
            </w:r>
            <w:r>
              <w:rPr>
                <w:rFonts w:eastAsia="Times New Roman"/>
              </w:rPr>
              <w:t xml:space="preserve"> или имущество в счет увеличения чистых активов</w:t>
            </w:r>
          </w:p>
        </w:tc>
        <w:tc>
          <w:tcPr>
            <w:tcW w:w="0" w:type="auto"/>
            <w:vAlign w:val="center"/>
            <w:hideMark/>
          </w:tcPr>
          <w:p w:rsidR="00000000" w:rsidRDefault="0029764F">
            <w:pPr>
              <w:pStyle w:val="NormalWeb"/>
            </w:pPr>
            <w:r>
              <w:rPr>
                <w:noProof/>
              </w:rPr>
              <w:drawing>
                <wp:inline distT="0" distB="0" distL="0" distR="0">
                  <wp:extent cx="190500" cy="190500"/>
                  <wp:effectExtent l="19050" t="0" r="0" b="0"/>
                  <wp:docPr id="7" name="Picture 7" descr="http://e.profkiosk.ru/service_tbn2/dm4jq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e.profkiosk.ru/service_tbn2/dm4jqs.jpg"/>
                          <pic:cNvPicPr>
                            <a:picLocks noChangeAspect="1" noChangeArrowheads="1"/>
                          </pic:cNvPicPr>
                        </pic:nvPicPr>
                        <pic:blipFill>
                          <a:blip r:link="rId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t>Активы, переданные для пополнения чистых активов, освобождены от налога на прибыль</w:t>
            </w:r>
            <w:r>
              <w:t xml:space="preserve"> независимо от доли участника (</w:t>
            </w:r>
            <w:hyperlink r:id="rId12" w:anchor="/document/99/420253854/XA00RTC2P9/" w:history="1">
              <w:r>
                <w:rPr>
                  <w:rStyle w:val="Hyperlink"/>
                </w:rPr>
                <w:t>подп. 3.4 п. 1 ст. 251 НК РФ</w:t>
              </w:r>
            </w:hyperlink>
            <w:r>
              <w:t xml:space="preserve">, </w:t>
            </w:r>
            <w:hyperlink r:id="rId13" w:anchor="/document/99/902383647/" w:history="1">
              <w:r>
                <w:rPr>
                  <w:rStyle w:val="Hyperlink"/>
                </w:rPr>
                <w:t>письмо ФНС России от 22.11.12 № ЕД-4-3/19653</w:t>
              </w:r>
            </w:hyperlink>
            <w:r>
              <w:t>.</w:t>
            </w:r>
          </w:p>
          <w:p w:rsidR="00000000" w:rsidRDefault="0029764F">
            <w:pPr>
              <w:pStyle w:val="NormalWeb"/>
            </w:pPr>
            <w:r>
              <w:rPr>
                <w:noProof/>
              </w:rPr>
              <w:drawing>
                <wp:inline distT="0" distB="0" distL="0" distR="0">
                  <wp:extent cx="190500" cy="190500"/>
                  <wp:effectExtent l="19050" t="0" r="0" b="0"/>
                  <wp:docPr id="8" name="Picture 8" descr="http://e.profkiosk.ru/service_tbn2/dm4jq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e.profkiosk.ru/service_tbn2/dm4jqs.jpg"/>
                          <pic:cNvPicPr>
                            <a:picLocks noChangeAspect="1" noChangeArrowheads="1"/>
                          </pic:cNvPicPr>
                        </pic:nvPicPr>
                        <pic:blipFill>
                          <a:blip r:link="rId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t>Имущество можно продать, сдать в аренду, право на освобождение от налога компания не</w:t>
            </w:r>
            <w:r>
              <w:t> теряет.</w:t>
            </w:r>
          </w:p>
        </w:tc>
        <w:tc>
          <w:tcPr>
            <w:tcW w:w="0" w:type="auto"/>
            <w:vMerge w:val="restart"/>
            <w:vAlign w:val="center"/>
            <w:hideMark/>
          </w:tcPr>
          <w:p w:rsidR="00000000" w:rsidRDefault="0029764F">
            <w:pPr>
              <w:rPr>
                <w:rFonts w:eastAsia="Times New Roman"/>
              </w:rPr>
            </w:pPr>
            <w:r>
              <w:rPr>
                <w:rFonts w:eastAsia="Times New Roman"/>
              </w:rPr>
              <w:t>В акте или другом документе, свидетельствующем о передаче имущества, надо отразить, что цель операции — увеличение чистых активов. А если участник передает деньги, то он должен записать цель в платежке</w:t>
            </w:r>
          </w:p>
        </w:tc>
      </w:tr>
      <w:tr w:rsidR="00000000">
        <w:trPr>
          <w:tblCellSpacing w:w="15" w:type="dxa"/>
        </w:trPr>
        <w:tc>
          <w:tcPr>
            <w:tcW w:w="0" w:type="auto"/>
            <w:vMerge/>
            <w:vAlign w:val="center"/>
            <w:hideMark/>
          </w:tcPr>
          <w:p w:rsidR="00000000" w:rsidRDefault="0029764F">
            <w:pPr>
              <w:rPr>
                <w:rFonts w:eastAsia="Times New Roman"/>
              </w:rPr>
            </w:pPr>
          </w:p>
        </w:tc>
        <w:tc>
          <w:tcPr>
            <w:tcW w:w="0" w:type="auto"/>
            <w:vAlign w:val="center"/>
            <w:hideMark/>
          </w:tcPr>
          <w:p w:rsidR="00000000" w:rsidRDefault="0029764F">
            <w:pPr>
              <w:rPr>
                <w:rFonts w:eastAsia="Times New Roman"/>
              </w:rPr>
            </w:pPr>
            <w:r>
              <w:rPr>
                <w:rFonts w:eastAsia="Times New Roman"/>
                <w:noProof/>
              </w:rPr>
              <w:drawing>
                <wp:inline distT="0" distB="0" distL="0" distR="0">
                  <wp:extent cx="190500" cy="190500"/>
                  <wp:effectExtent l="19050" t="0" r="0" b="0"/>
                  <wp:docPr id="9" name="Picture 9" descr="http://e.profkiosk.ru/service_tbn2/rchb1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e.profkiosk.ru/service_tbn2/rchb1q.jpg"/>
                          <pic:cNvPicPr>
                            <a:picLocks noChangeAspect="1" noChangeArrowheads="1"/>
                          </pic:cNvPicPr>
                        </pic:nvPicPr>
                        <pic:blipFill>
                          <a:blip r:link="rId6"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Pr>
                <w:rFonts w:eastAsia="Times New Roman"/>
              </w:rPr>
              <w:t xml:space="preserve">Безопаснее прописать в уставе возможность передачи денег или имущества на увеличение </w:t>
            </w:r>
            <w:r>
              <w:rPr>
                <w:rFonts w:eastAsia="Times New Roman"/>
              </w:rPr>
              <w:lastRenderedPageBreak/>
              <w:t>чистых активов</w:t>
            </w:r>
          </w:p>
        </w:tc>
        <w:tc>
          <w:tcPr>
            <w:tcW w:w="0" w:type="auto"/>
            <w:vMerge/>
            <w:vAlign w:val="center"/>
            <w:hideMark/>
          </w:tcPr>
          <w:p w:rsidR="00000000" w:rsidRDefault="0029764F">
            <w:pPr>
              <w:rPr>
                <w:rFonts w:eastAsia="Times New Roman"/>
              </w:rPr>
            </w:pPr>
          </w:p>
        </w:tc>
      </w:tr>
      <w:tr w:rsidR="00000000">
        <w:trPr>
          <w:tblCellSpacing w:w="15" w:type="dxa"/>
        </w:trPr>
        <w:tc>
          <w:tcPr>
            <w:tcW w:w="0" w:type="auto"/>
            <w:vMerge w:val="restart"/>
            <w:vAlign w:val="center"/>
            <w:hideMark/>
          </w:tcPr>
          <w:p w:rsidR="00000000" w:rsidRDefault="0029764F">
            <w:pPr>
              <w:rPr>
                <w:rFonts w:eastAsia="Times New Roman"/>
              </w:rPr>
            </w:pPr>
            <w:r>
              <w:rPr>
                <w:rFonts w:eastAsia="Times New Roman"/>
              </w:rPr>
              <w:lastRenderedPageBreak/>
              <w:t>Учредитель предоставляет беспроцентный заем</w:t>
            </w:r>
          </w:p>
        </w:tc>
        <w:tc>
          <w:tcPr>
            <w:tcW w:w="0" w:type="auto"/>
            <w:vAlign w:val="center"/>
            <w:hideMark/>
          </w:tcPr>
          <w:p w:rsidR="00000000" w:rsidRDefault="0029764F">
            <w:pPr>
              <w:pStyle w:val="NormalWeb"/>
            </w:pPr>
            <w:r>
              <w:rPr>
                <w:noProof/>
              </w:rPr>
              <w:drawing>
                <wp:inline distT="0" distB="0" distL="0" distR="0">
                  <wp:extent cx="190500" cy="190500"/>
                  <wp:effectExtent l="19050" t="0" r="0" b="0"/>
                  <wp:docPr id="10" name="Picture 10" descr="http://e.profkiosk.ru/service_tbn2/dm4jq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e.profkiosk.ru/service_tbn2/dm4jqs.jpg"/>
                          <pic:cNvPicPr>
                            <a:picLocks noChangeAspect="1" noChangeArrowheads="1"/>
                          </pic:cNvPicPr>
                        </pic:nvPicPr>
                        <pic:blipFill>
                          <a:blip r:link="rId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t>Сумму займа не надо учитыват</w:t>
            </w:r>
            <w:r>
              <w:t>ь в доходах (</w:t>
            </w:r>
            <w:hyperlink r:id="rId14" w:anchor="/document/99/420253854/XA00MD22NM/" w:history="1">
              <w:r>
                <w:rPr>
                  <w:rStyle w:val="Hyperlink"/>
                </w:rPr>
                <w:t>подп. 10 п. 1 ст. 251 НК РФ</w:t>
              </w:r>
            </w:hyperlink>
            <w:r>
              <w:t>).</w:t>
            </w:r>
          </w:p>
          <w:p w:rsidR="00000000" w:rsidRDefault="0029764F">
            <w:pPr>
              <w:pStyle w:val="NormalWeb"/>
            </w:pPr>
            <w:r>
              <w:rPr>
                <w:noProof/>
              </w:rPr>
              <w:drawing>
                <wp:inline distT="0" distB="0" distL="0" distR="0">
                  <wp:extent cx="190500" cy="190500"/>
                  <wp:effectExtent l="19050" t="0" r="0" b="0"/>
                  <wp:docPr id="11" name="Picture 11" descr="http://e.profkiosk.ru/service_tbn2/dm4jq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e.profkiosk.ru/service_tbn2/dm4jqs.jpg"/>
                          <pic:cNvPicPr>
                            <a:picLocks noChangeAspect="1" noChangeArrowheads="1"/>
                          </pic:cNvPicPr>
                        </pic:nvPicPr>
                        <pic:blipFill>
                          <a:blip r:link="rId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t>Если учредитель с долей свыше 50 процентов простит заем, его сумму не надо учитывать в доходах (</w:t>
            </w:r>
            <w:hyperlink r:id="rId15" w:anchor="/document/99/499049317/" w:history="1">
              <w:r>
                <w:rPr>
                  <w:rStyle w:val="Hyperlink"/>
                </w:rPr>
                <w:t>письмо Минфина России от 30.09.13 № 03-03-06/1/40367</w:t>
              </w:r>
            </w:hyperlink>
            <w:r>
              <w:t>).</w:t>
            </w:r>
          </w:p>
          <w:p w:rsidR="00000000" w:rsidRDefault="0029764F">
            <w:pPr>
              <w:pStyle w:val="NormalWeb"/>
            </w:pPr>
            <w:r>
              <w:rPr>
                <w:noProof/>
              </w:rPr>
              <w:drawing>
                <wp:inline distT="0" distB="0" distL="0" distR="0">
                  <wp:extent cx="190500" cy="190500"/>
                  <wp:effectExtent l="19050" t="0" r="0" b="0"/>
                  <wp:docPr id="12" name="Picture 12" descr="http://e.profkiosk.ru/service_tbn2/dm4jq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e.profkiosk.ru/service_tbn2/dm4jqs.jpg"/>
                          <pic:cNvPicPr>
                            <a:picLocks noChangeAspect="1" noChangeArrowheads="1"/>
                          </pic:cNvPicPr>
                        </pic:nvPicPr>
                        <pic:blipFill>
                          <a:blip r:link="rId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t>Если учредитель простит заем в целях увеличения чистых активов, его су</w:t>
            </w:r>
            <w:r>
              <w:t>мма не увеличивает доходы (</w:t>
            </w:r>
            <w:hyperlink r:id="rId16" w:anchor="/document/99/420210166/" w:history="1">
              <w:r>
                <w:rPr>
                  <w:rStyle w:val="Hyperlink"/>
                </w:rPr>
                <w:t>письмо Минфина России от 25.06.14 № 03-03-06/1/30267</w:t>
              </w:r>
            </w:hyperlink>
            <w:r>
              <w:t>).</w:t>
            </w:r>
          </w:p>
        </w:tc>
        <w:tc>
          <w:tcPr>
            <w:tcW w:w="0" w:type="auto"/>
            <w:vMerge w:val="restart"/>
            <w:vAlign w:val="center"/>
            <w:hideMark/>
          </w:tcPr>
          <w:p w:rsidR="00000000" w:rsidRDefault="0029764F">
            <w:pPr>
              <w:rPr>
                <w:rFonts w:eastAsia="Times New Roman"/>
              </w:rPr>
            </w:pPr>
            <w:r>
              <w:rPr>
                <w:rFonts w:eastAsia="Times New Roman"/>
              </w:rPr>
              <w:t>Необходимо составить письменный договор займа (</w:t>
            </w:r>
            <w:hyperlink r:id="rId17" w:anchor="/document/99/420265581/XA00RPI2P2/" w:history="1">
              <w:r>
                <w:rPr>
                  <w:rStyle w:val="Hyperlink"/>
                  <w:rFonts w:eastAsia="Times New Roman"/>
                </w:rPr>
                <w:t>п. 1 ст. 809 ГК РФ</w:t>
              </w:r>
            </w:hyperlink>
            <w:r>
              <w:rPr>
                <w:rFonts w:eastAsia="Times New Roman"/>
              </w:rPr>
              <w:t>)</w:t>
            </w:r>
          </w:p>
        </w:tc>
      </w:tr>
      <w:tr w:rsidR="00000000">
        <w:trPr>
          <w:tblCellSpacing w:w="15" w:type="dxa"/>
        </w:trPr>
        <w:tc>
          <w:tcPr>
            <w:tcW w:w="0" w:type="auto"/>
            <w:vMerge/>
            <w:vAlign w:val="center"/>
            <w:hideMark/>
          </w:tcPr>
          <w:p w:rsidR="00000000" w:rsidRDefault="0029764F">
            <w:pPr>
              <w:rPr>
                <w:rFonts w:eastAsia="Times New Roman"/>
              </w:rPr>
            </w:pPr>
          </w:p>
        </w:tc>
        <w:tc>
          <w:tcPr>
            <w:tcW w:w="0" w:type="auto"/>
            <w:vAlign w:val="center"/>
            <w:hideMark/>
          </w:tcPr>
          <w:p w:rsidR="00000000" w:rsidRDefault="0029764F">
            <w:pPr>
              <w:rPr>
                <w:rFonts w:eastAsia="Times New Roman"/>
              </w:rPr>
            </w:pPr>
            <w:r>
              <w:rPr>
                <w:rFonts w:eastAsia="Times New Roman"/>
                <w:noProof/>
              </w:rPr>
              <w:drawing>
                <wp:inline distT="0" distB="0" distL="0" distR="0">
                  <wp:extent cx="190500" cy="190500"/>
                  <wp:effectExtent l="19050" t="0" r="0" b="0"/>
                  <wp:docPr id="13" name="Picture 13" descr="http://e.profkiosk.ru/service_tbn2/rchb1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e.profkiosk.ru/service_tbn2/rchb1q.jpg"/>
                          <pic:cNvPicPr>
                            <a:picLocks noChangeAspect="1" noChangeArrowheads="1"/>
                          </pic:cNvPicPr>
                        </pic:nvPicPr>
                        <pic:blipFill>
                          <a:blip r:link="rId6"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Pr>
                <w:rFonts w:eastAsia="Times New Roman"/>
              </w:rPr>
              <w:t>Сумму займа надо вернуть после окончания договора</w:t>
            </w:r>
          </w:p>
        </w:tc>
        <w:tc>
          <w:tcPr>
            <w:tcW w:w="0" w:type="auto"/>
            <w:vMerge/>
            <w:vAlign w:val="center"/>
            <w:hideMark/>
          </w:tcPr>
          <w:p w:rsidR="00000000" w:rsidRDefault="0029764F">
            <w:pPr>
              <w:rPr>
                <w:rFonts w:eastAsia="Times New Roman"/>
              </w:rPr>
            </w:pPr>
          </w:p>
        </w:tc>
      </w:tr>
      <w:tr w:rsidR="00000000">
        <w:trPr>
          <w:tblCellSpacing w:w="15" w:type="dxa"/>
        </w:trPr>
        <w:tc>
          <w:tcPr>
            <w:tcW w:w="0" w:type="auto"/>
            <w:vMerge w:val="restart"/>
            <w:vAlign w:val="center"/>
            <w:hideMark/>
          </w:tcPr>
          <w:p w:rsidR="00000000" w:rsidRDefault="0029764F">
            <w:pPr>
              <w:rPr>
                <w:rFonts w:eastAsia="Times New Roman"/>
              </w:rPr>
            </w:pPr>
            <w:r>
              <w:rPr>
                <w:rFonts w:eastAsia="Times New Roman"/>
              </w:rPr>
              <w:t>Учредитель предоставляет заем с процентами</w:t>
            </w:r>
          </w:p>
        </w:tc>
        <w:tc>
          <w:tcPr>
            <w:tcW w:w="0" w:type="auto"/>
            <w:vAlign w:val="center"/>
            <w:hideMark/>
          </w:tcPr>
          <w:p w:rsidR="00000000" w:rsidRDefault="0029764F">
            <w:pPr>
              <w:pStyle w:val="NormalWeb"/>
            </w:pPr>
            <w:r>
              <w:rPr>
                <w:noProof/>
              </w:rPr>
              <w:drawing>
                <wp:inline distT="0" distB="0" distL="0" distR="0">
                  <wp:extent cx="190500" cy="190500"/>
                  <wp:effectExtent l="19050" t="0" r="0" b="0"/>
                  <wp:docPr id="14" name="Picture 14" descr="http://e.profkiosk.ru/service_tbn2/dm4jq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e.profkiosk.ru/service_tbn2/dm4jqs.jpg"/>
                          <pic:cNvPicPr>
                            <a:picLocks noChangeAspect="1" noChangeArrowheads="1"/>
                          </pic:cNvPicPr>
                        </pic:nvPicPr>
                        <pic:blipFill>
                          <a:blip r:link="rId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t>Проценты можно списать в любой сумме (</w:t>
            </w:r>
            <w:hyperlink r:id="rId18" w:anchor="/document/99/420253854/XA00M862N4/" w:history="1">
              <w:r>
                <w:rPr>
                  <w:rStyle w:val="Hyperlink"/>
                </w:rPr>
                <w:t>п. 1 ст. 269 НК РФ</w:t>
              </w:r>
            </w:hyperlink>
            <w:r>
              <w:t>).</w:t>
            </w:r>
          </w:p>
          <w:p w:rsidR="00000000" w:rsidRDefault="0029764F">
            <w:pPr>
              <w:pStyle w:val="NormalWeb"/>
            </w:pPr>
            <w:r>
              <w:rPr>
                <w:noProof/>
              </w:rPr>
              <w:drawing>
                <wp:inline distT="0" distB="0" distL="0" distR="0">
                  <wp:extent cx="190500" cy="190500"/>
                  <wp:effectExtent l="19050" t="0" r="0" b="0"/>
                  <wp:docPr id="15" name="Picture 15" descr="http://e.profkiosk.ru/service_tbn2/dm4jq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e.profkiosk.ru/service_tbn2/dm4jqs.jpg"/>
                          <pic:cNvPicPr>
                            <a:picLocks noChangeAspect="1" noChangeArrowheads="1"/>
                          </pic:cNvPicPr>
                        </pic:nvPicPr>
                        <pic:blipFill>
                          <a:blip r:link="rId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t>Заем не увеличивает доходы.</w:t>
            </w:r>
          </w:p>
          <w:p w:rsidR="00000000" w:rsidRDefault="0029764F">
            <w:pPr>
              <w:pStyle w:val="NormalWeb"/>
            </w:pPr>
            <w:r>
              <w:rPr>
                <w:noProof/>
              </w:rPr>
              <w:drawing>
                <wp:inline distT="0" distB="0" distL="0" distR="0">
                  <wp:extent cx="190500" cy="190500"/>
                  <wp:effectExtent l="19050" t="0" r="0" b="0"/>
                  <wp:docPr id="16" name="Picture 16" descr="http://e.profkiosk.ru/service_tbn2/dm4jq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e.profkiosk.ru/service_tbn2/dm4jqs.jpg"/>
                          <pic:cNvPicPr>
                            <a:picLocks noChangeAspect="1" noChangeArrowheads="1"/>
                          </pic:cNvPicPr>
                        </pic:nvPicPr>
                        <pic:blipFill>
                          <a:blip r:link="rId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t>Если учредитель простит заем, его сумма не увеличивает доходы (если доля участника выше 50 процентов или заем прощен в целях увеличения чист</w:t>
            </w:r>
            <w:r>
              <w:t>ых активов).</w:t>
            </w:r>
          </w:p>
        </w:tc>
        <w:tc>
          <w:tcPr>
            <w:tcW w:w="0" w:type="auto"/>
            <w:vMerge w:val="restart"/>
            <w:vAlign w:val="center"/>
            <w:hideMark/>
          </w:tcPr>
          <w:p w:rsidR="00000000" w:rsidRDefault="0029764F">
            <w:pPr>
              <w:rPr>
                <w:rFonts w:eastAsia="Times New Roman"/>
              </w:rPr>
            </w:pPr>
            <w:r>
              <w:rPr>
                <w:rFonts w:eastAsia="Times New Roman"/>
              </w:rPr>
              <w:t>Надо составить письменный договор займа</w:t>
            </w:r>
          </w:p>
        </w:tc>
      </w:tr>
      <w:tr w:rsidR="00000000">
        <w:trPr>
          <w:tblCellSpacing w:w="15" w:type="dxa"/>
        </w:trPr>
        <w:tc>
          <w:tcPr>
            <w:tcW w:w="0" w:type="auto"/>
            <w:vMerge/>
            <w:vAlign w:val="center"/>
            <w:hideMark/>
          </w:tcPr>
          <w:p w:rsidR="00000000" w:rsidRDefault="0029764F">
            <w:pPr>
              <w:rPr>
                <w:rFonts w:eastAsia="Times New Roman"/>
              </w:rPr>
            </w:pPr>
          </w:p>
        </w:tc>
        <w:tc>
          <w:tcPr>
            <w:tcW w:w="0" w:type="auto"/>
            <w:vAlign w:val="center"/>
            <w:hideMark/>
          </w:tcPr>
          <w:p w:rsidR="00000000" w:rsidRDefault="0029764F">
            <w:pPr>
              <w:pStyle w:val="NormalWeb"/>
            </w:pPr>
            <w:r>
              <w:rPr>
                <w:noProof/>
              </w:rPr>
              <w:drawing>
                <wp:inline distT="0" distB="0" distL="0" distR="0">
                  <wp:extent cx="190500" cy="190500"/>
                  <wp:effectExtent l="19050" t="0" r="0" b="0"/>
                  <wp:docPr id="17" name="Picture 17" descr="http://e.profkiosk.ru/service_tbn2/rchb1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e.profkiosk.ru/service_tbn2/rchb1q.jpg"/>
                          <pic:cNvPicPr>
                            <a:picLocks noChangeAspect="1" noChangeArrowheads="1"/>
                          </pic:cNvPicPr>
                        </pic:nvPicPr>
                        <pic:blipFill>
                          <a:blip r:link="rId6"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t>Если учредител</w:t>
            </w:r>
            <w:r>
              <w:t>ь простил проценты, их сумму надо признать в доходах (</w:t>
            </w:r>
            <w:hyperlink r:id="rId19" w:anchor="/document/99/499049317/" w:history="1">
              <w:r>
                <w:rPr>
                  <w:rStyle w:val="Hyperlink"/>
                </w:rPr>
                <w:t>письмо № 03-03-06/1/40367</w:t>
              </w:r>
            </w:hyperlink>
            <w:r>
              <w:t>).</w:t>
            </w:r>
          </w:p>
          <w:p w:rsidR="00000000" w:rsidRDefault="0029764F">
            <w:pPr>
              <w:pStyle w:val="NormalWeb"/>
            </w:pPr>
            <w:r>
              <w:rPr>
                <w:noProof/>
              </w:rPr>
              <w:drawing>
                <wp:inline distT="0" distB="0" distL="0" distR="0">
                  <wp:extent cx="190500" cy="190500"/>
                  <wp:effectExtent l="19050" t="0" r="0" b="0"/>
                  <wp:docPr id="18" name="Picture 18" descr="http://e.profkiosk.ru/service_tbn2/rchb1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e.profkiosk.ru/service_tbn2/rchb1q.jpg"/>
                          <pic:cNvPicPr>
                            <a:picLocks noChangeAspect="1" noChangeArrowheads="1"/>
                          </pic:cNvPicPr>
                        </pic:nvPicPr>
                        <pic:blipFill>
                          <a:blip r:link="rId6"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t>Сумму займа надо вернуть с процентами</w:t>
            </w:r>
          </w:p>
        </w:tc>
        <w:tc>
          <w:tcPr>
            <w:tcW w:w="0" w:type="auto"/>
            <w:vMerge/>
            <w:vAlign w:val="center"/>
            <w:hideMark/>
          </w:tcPr>
          <w:p w:rsidR="00000000" w:rsidRDefault="0029764F">
            <w:pPr>
              <w:rPr>
                <w:rFonts w:eastAsia="Times New Roman"/>
              </w:rPr>
            </w:pPr>
          </w:p>
        </w:tc>
      </w:tr>
    </w:tbl>
    <w:p w:rsidR="00000000" w:rsidRDefault="0029764F">
      <w:pPr>
        <w:rPr>
          <w:rFonts w:eastAsia="Times New Roman"/>
        </w:rPr>
      </w:pPr>
      <w:r>
        <w:rPr>
          <w:rFonts w:eastAsia="Times New Roman"/>
        </w:rPr>
        <w:br/>
      </w:r>
    </w:p>
    <w:p w:rsidR="0029764F" w:rsidRDefault="0029764F">
      <w:pPr>
        <w:divId w:val="280232667"/>
        <w:rPr>
          <w:rFonts w:eastAsia="Times New Roman"/>
        </w:rPr>
      </w:pPr>
      <w:r>
        <w:rPr>
          <w:rFonts w:eastAsia="Times New Roman"/>
        </w:rPr>
        <w:t>БСС «Система Главбух» 2015</w:t>
      </w:r>
    </w:p>
    <w:sectPr w:rsidR="0029764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noPunctuationKerning/>
  <w:characterSpacingControl w:val="doNotCompress"/>
  <w:compat/>
  <w:rsids>
    <w:rsidRoot w:val="00DD6871"/>
    <w:rsid w:val="0029764F"/>
    <w:rsid w:val="00467BB6"/>
    <w:rsid w:val="00DD6871"/>
  </w:rsids>
  <m:mathPr>
    <m:mathFont m:val="Cambria Math"/>
    <m:brkBin m:val="before"/>
    <m:brkBinSub m:val="--"/>
    <m:smallFrac m:val="off"/>
    <m:dispDef/>
    <m:lMargin m:val="0"/>
    <m:rMargin m:val="0"/>
    <m:defJc m:val="centerGroup"/>
    <m:wrapIndent m:val="1440"/>
    <m:intLim m:val="subSup"/>
    <m:naryLim m:val="undOvr"/>
  </m:mathPr>
  <w:attachedSchema w:val="http://actiondigital.ru/namespaces/system"/>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spacing w:before="100" w:beforeAutospacing="1" w:after="100" w:afterAutospacing="1"/>
      <w:outlineLvl w:val="0"/>
    </w:pPr>
    <w:rPr>
      <w:b/>
      <w:bCs/>
      <w:kern w:val="36"/>
      <w:sz w:val="48"/>
      <w:szCs w:val="48"/>
    </w:rPr>
  </w:style>
  <w:style w:type="paragraph" w:styleId="Heading6">
    <w:name w:val="heading 6"/>
    <w:basedOn w:val="Normal"/>
    <w:link w:val="Heading6Char"/>
    <w:uiPriority w:val="9"/>
    <w:qFormat/>
    <w:pPr>
      <w:spacing w:before="100" w:beforeAutospacing="1" w:after="100" w:afterAutospacing="1"/>
      <w:outlineLvl w:val="5"/>
    </w:pPr>
    <w:rPr>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paragraph" w:styleId="HTMLPreformatted">
    <w:name w:val="HTML Preformatted"/>
    <w:basedOn w:val="Normal"/>
    <w:link w:val="HTMLPreformattedChar"/>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w:hAnsi="Arial" w:cs="Arial"/>
      <w:sz w:val="20"/>
      <w:szCs w:val="20"/>
    </w:rPr>
  </w:style>
  <w:style w:type="character" w:customStyle="1" w:styleId="HTMLPreformattedChar">
    <w:name w:val="HTML Preformatted Char"/>
    <w:basedOn w:val="DefaultParagraphFont"/>
    <w:link w:val="HTMLPreformatted"/>
    <w:uiPriority w:val="99"/>
    <w:semiHidden/>
    <w:rPr>
      <w:rFonts w:ascii="Consolas" w:eastAsiaTheme="minorEastAsia" w:hAnsi="Consolas"/>
    </w:rPr>
  </w:style>
  <w:style w:type="paragraph" w:customStyle="1" w:styleId="contentblock">
    <w:name w:val="content_block"/>
    <w:basedOn w:val="Normal"/>
    <w:pPr>
      <w:spacing w:before="100" w:beforeAutospacing="1" w:after="100" w:afterAutospacing="1"/>
      <w:ind w:right="357"/>
    </w:pPr>
  </w:style>
  <w:style w:type="paragraph" w:customStyle="1" w:styleId="references">
    <w:name w:val="references"/>
    <w:basedOn w:val="Normal"/>
    <w:pPr>
      <w:spacing w:before="100" w:beforeAutospacing="1" w:after="100" w:afterAutospacing="1"/>
    </w:pPr>
    <w:rPr>
      <w:vanish/>
    </w:rPr>
  </w:style>
  <w:style w:type="paragraph" w:customStyle="1" w:styleId="content">
    <w:name w:val="content"/>
    <w:basedOn w:val="Normal"/>
    <w:pPr>
      <w:spacing w:before="100" w:beforeAutospacing="1" w:after="100" w:afterAutospacing="1"/>
    </w:pPr>
  </w:style>
  <w:style w:type="character" w:customStyle="1" w:styleId="docreferences">
    <w:name w:val="doc__references"/>
    <w:basedOn w:val="DefaultParagraphFont"/>
    <w:rPr>
      <w:vanish/>
      <w:webHidden w:val="0"/>
      <w:specVanish w:val="0"/>
    </w:rPr>
  </w:style>
  <w:style w:type="character" w:customStyle="1" w:styleId="incut-head-control">
    <w:name w:val="incut-head-control"/>
    <w:basedOn w:val="DefaultParagraphFont"/>
  </w:style>
  <w:style w:type="character" w:customStyle="1" w:styleId="incut-head-control1">
    <w:name w:val="incut-head-control1"/>
    <w:basedOn w:val="DefaultParagraphFont"/>
    <w:rPr>
      <w:b/>
      <w:bCs/>
    </w:rPr>
  </w:style>
  <w:style w:type="paragraph" w:customStyle="1" w:styleId="content1">
    <w:name w:val="content1"/>
    <w:basedOn w:val="Normal"/>
    <w:pPr>
      <w:spacing w:before="100" w:beforeAutospacing="1" w:after="100" w:afterAutospacing="1"/>
    </w:pPr>
    <w:rPr>
      <w:sz w:val="21"/>
      <w:szCs w:val="21"/>
    </w:rPr>
  </w:style>
  <w:style w:type="paragraph" w:styleId="NormalWeb">
    <w:name w:val="Normal (Web)"/>
    <w:basedOn w:val="Normal"/>
    <w:uiPriority w:val="99"/>
    <w:unhideWhenUsed/>
    <w:pPr>
      <w:spacing w:before="100" w:beforeAutospacing="1" w:after="100" w:afterAutospacing="1"/>
    </w:p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243F60" w:themeColor="accent1" w:themeShade="7F"/>
      <w:sz w:val="24"/>
      <w:szCs w:val="24"/>
    </w:rPr>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paragraph" w:styleId="BalloonText">
    <w:name w:val="Balloon Text"/>
    <w:basedOn w:val="Normal"/>
    <w:link w:val="BalloonTextChar"/>
    <w:uiPriority w:val="99"/>
    <w:semiHidden/>
    <w:unhideWhenUsed/>
    <w:rsid w:val="00467BB6"/>
    <w:rPr>
      <w:rFonts w:ascii="Tahoma" w:hAnsi="Tahoma" w:cs="Tahoma"/>
      <w:sz w:val="16"/>
      <w:szCs w:val="16"/>
    </w:rPr>
  </w:style>
  <w:style w:type="character" w:customStyle="1" w:styleId="BalloonTextChar">
    <w:name w:val="Balloon Text Char"/>
    <w:basedOn w:val="DefaultParagraphFont"/>
    <w:link w:val="BalloonText"/>
    <w:uiPriority w:val="99"/>
    <w:semiHidden/>
    <w:rsid w:val="00467BB6"/>
    <w:rPr>
      <w:rFonts w:ascii="Tahoma" w:eastAsiaTheme="minorEastAsi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80232667">
      <w:marLeft w:val="0"/>
      <w:marRight w:val="0"/>
      <w:marTop w:val="0"/>
      <w:marBottom w:val="0"/>
      <w:divBdr>
        <w:top w:val="none" w:sz="0" w:space="0" w:color="auto"/>
        <w:left w:val="none" w:sz="0" w:space="0" w:color="auto"/>
        <w:bottom w:val="none" w:sz="0" w:space="0" w:color="auto"/>
        <w:right w:val="none" w:sz="0" w:space="0" w:color="auto"/>
      </w:divBdr>
    </w:div>
  </w:divs>
  <w:encoding w:val="unicode"/>
</w:webSettings>
</file>

<file path=word/_rels/document.xml.rels><?xml version="1.0" encoding="UTF-8" standalone="yes"?>
<Relationships xmlns="http://schemas.openxmlformats.org/package/2006/relationships"><Relationship Id="rId8" Type="http://schemas.openxmlformats.org/officeDocument/2006/relationships/image" Target="http://e.profkiosk.ru/service_tbn2/ojslrx.gif" TargetMode="External"/><Relationship Id="rId13" Type="http://schemas.openxmlformats.org/officeDocument/2006/relationships/hyperlink" Target="http://vip.1gl.ru/" TargetMode="External"/><Relationship Id="rId18" Type="http://schemas.openxmlformats.org/officeDocument/2006/relationships/hyperlink" Target="http://vip.1gl.ru/"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vip.1gl.ru/" TargetMode="External"/><Relationship Id="rId12" Type="http://schemas.openxmlformats.org/officeDocument/2006/relationships/hyperlink" Target="http://vip.1gl.ru/" TargetMode="External"/><Relationship Id="rId17" Type="http://schemas.openxmlformats.org/officeDocument/2006/relationships/hyperlink" Target="http://vip.1gl.ru/" TargetMode="External"/><Relationship Id="rId2" Type="http://schemas.openxmlformats.org/officeDocument/2006/relationships/settings" Target="settings.xml"/><Relationship Id="rId16" Type="http://schemas.openxmlformats.org/officeDocument/2006/relationships/hyperlink" Target="http://vip.1gl.ru/"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http://e.profkiosk.ru/service_tbn2/rchb1q.jpg" TargetMode="External"/><Relationship Id="rId11" Type="http://schemas.openxmlformats.org/officeDocument/2006/relationships/hyperlink" Target="http://vip.1gl.ru/" TargetMode="External"/><Relationship Id="rId5" Type="http://schemas.openxmlformats.org/officeDocument/2006/relationships/hyperlink" Target="http://vip.1gl.ru/" TargetMode="External"/><Relationship Id="rId15" Type="http://schemas.openxmlformats.org/officeDocument/2006/relationships/hyperlink" Target="http://vip.1gl.ru/" TargetMode="External"/><Relationship Id="rId10" Type="http://schemas.openxmlformats.org/officeDocument/2006/relationships/hyperlink" Target="http://vip.1gl.ru/" TargetMode="External"/><Relationship Id="rId19" Type="http://schemas.openxmlformats.org/officeDocument/2006/relationships/hyperlink" Target="http://vip.1gl.ru/" TargetMode="External"/><Relationship Id="rId4" Type="http://schemas.openxmlformats.org/officeDocument/2006/relationships/image" Target="http://e.profkiosk.ru/service_tbn2/dm4jqs.jpg" TargetMode="External"/><Relationship Id="rId9" Type="http://schemas.openxmlformats.org/officeDocument/2006/relationships/hyperlink" Target="http://vip.1gl.ru/" TargetMode="External"/><Relationship Id="rId14" Type="http://schemas.openxmlformats.org/officeDocument/2006/relationships/hyperlink" Target="http://vip.1g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638</Words>
  <Characters>3638</Characters>
  <Application>Microsoft Office Word</Application>
  <DocSecurity>0</DocSecurity>
  <Lines>30</Lines>
  <Paragraphs>8</Paragraphs>
  <ScaleCrop>false</ScaleCrop>
  <Company/>
  <LinksUpToDate>false</LinksUpToDate>
  <CharactersWithSpaces>4268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Иван</dc:creator>
  <cp:lastModifiedBy>Иван</cp:lastModifiedBy>
  <cp:revision>2</cp:revision>
  <dcterms:created xsi:type="dcterms:W3CDTF">2015-06-18T10:37:00Z</dcterms:created>
  <dcterms:modified xsi:type="dcterms:W3CDTF">2015-06-18T10:37:00Z</dcterms:modified>
</cp:coreProperties>
</file>