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FD8" w:rsidRPr="000E3FD8" w:rsidRDefault="000E3FD8" w:rsidP="000E3FD8">
      <w:pPr>
        <w:spacing w:after="255" w:line="240" w:lineRule="atLeast"/>
        <w:outlineLvl w:val="3"/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</w:pPr>
      <w:r w:rsidRPr="000E3FD8"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  <w:t xml:space="preserve">В </w:t>
      </w:r>
      <w:proofErr w:type="gramStart"/>
      <w:r w:rsidRPr="000E3FD8"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  <w:t>бюджеты</w:t>
      </w:r>
      <w:proofErr w:type="gramEnd"/>
      <w:r w:rsidRPr="000E3FD8">
        <w:rPr>
          <w:rFonts w:ascii="Arial" w:eastAsia="Times New Roman" w:hAnsi="Arial" w:cs="Arial"/>
          <w:b/>
          <w:bCs/>
          <w:color w:val="4D4D4D"/>
          <w:sz w:val="23"/>
          <w:szCs w:val="23"/>
          <w:lang w:eastAsia="ru-RU"/>
        </w:rPr>
        <w:t xml:space="preserve"> какого уровня зачисляются денежные средства (налоги), взимаемые в связи с применением УСН и уплатой ЕНВД?</w:t>
      </w:r>
    </w:p>
    <w:p w:rsidR="000E3FD8" w:rsidRPr="000E3FD8" w:rsidRDefault="000E3FD8" w:rsidP="000E3FD8">
      <w:pPr>
        <w:spacing w:after="180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27 ноября 2013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Рассмотрев вопрос, мы пришли к следующему выводу: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Налог, взимаемый в связи с применением УСН, включая минимальный налог, полностью зачисляется в бюджет субъекта РФ.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Доходы от ЕНВД полностью зачисляются в доходы местных бюджетов (бюджеты муниципальных районов либо городских округов).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Обоснование вывода: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hyperlink r:id="rId5" w:anchor="block_1201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Пунктом 1 ст. 12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НК РФ в РФ установлены следующие виды налогов и сборов: федеральные (</w:t>
      </w:r>
      <w:hyperlink r:id="rId6" w:anchor="block_13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ст. 13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НК РФ), региональные (</w:t>
      </w:r>
      <w:hyperlink r:id="rId7" w:anchor="block_14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ст. 14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НК РФ) и местные (</w:t>
      </w:r>
      <w:hyperlink r:id="rId8" w:anchor="block_15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ст. 15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НК РФ). </w:t>
      </w:r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При этом нормы НК РФ не связывают вид налога с видом бюджета, в который он подлежит зачислению.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Кроме того, </w:t>
      </w:r>
      <w:hyperlink r:id="rId9" w:anchor="block_18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ст. 18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НК РФ предусмотрены специальные налоговые режимы, к которым </w:t>
      </w:r>
      <w:proofErr w:type="gramStart"/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относятся</w:t>
      </w:r>
      <w:proofErr w:type="gramEnd"/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том числе УСН и ЕНВД.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В силу </w:t>
      </w:r>
      <w:hyperlink r:id="rId10" w:anchor="block_1207" w:tgtFrame="_blank" w:history="1">
        <w:r w:rsidRPr="000E3FD8">
          <w:rPr>
            <w:rFonts w:ascii="Arial" w:eastAsia="Times New Roman" w:hAnsi="Arial" w:cs="Arial"/>
            <w:color w:val="FF0000"/>
            <w:sz w:val="21"/>
            <w:szCs w:val="21"/>
            <w:bdr w:val="none" w:sz="0" w:space="0" w:color="auto" w:frame="1"/>
            <w:lang w:eastAsia="ru-RU"/>
          </w:rPr>
          <w:t>п. 7 ст. 12</w:t>
        </w:r>
      </w:hyperlink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 НК </w:t>
      </w:r>
      <w:proofErr w:type="gramStart"/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РФ</w:t>
      </w:r>
      <w:proofErr w:type="gramEnd"/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 установленные НК РФ специальные налоговые режимы могут предусматривать федеральные налоги, не указанные в </w:t>
      </w:r>
      <w:hyperlink r:id="rId11" w:anchor="block_13" w:tgtFrame="_blank" w:history="1">
        <w:r w:rsidRPr="000E3FD8">
          <w:rPr>
            <w:rFonts w:ascii="Arial" w:eastAsia="Times New Roman" w:hAnsi="Arial" w:cs="Arial"/>
            <w:color w:val="FF0000"/>
            <w:sz w:val="21"/>
            <w:szCs w:val="21"/>
            <w:bdr w:val="none" w:sz="0" w:space="0" w:color="auto" w:frame="1"/>
            <w:lang w:eastAsia="ru-RU"/>
          </w:rPr>
          <w:t>ст. 13</w:t>
        </w:r>
      </w:hyperlink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НК РФ. То есть из норм </w:t>
      </w:r>
      <w:hyperlink r:id="rId12" w:anchor="block_1207" w:tgtFrame="_blank" w:history="1">
        <w:r w:rsidRPr="000E3FD8">
          <w:rPr>
            <w:rFonts w:ascii="Arial" w:eastAsia="Times New Roman" w:hAnsi="Arial" w:cs="Arial"/>
            <w:color w:val="FF0000"/>
            <w:sz w:val="21"/>
            <w:szCs w:val="21"/>
            <w:bdr w:val="none" w:sz="0" w:space="0" w:color="auto" w:frame="1"/>
            <w:lang w:eastAsia="ru-RU"/>
          </w:rPr>
          <w:t>п. 7 ст. 12</w:t>
        </w:r>
      </w:hyperlink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НК РФ следует, что налоги, исчисляемые в рамках специальных налоговых режимы, являются разновидностью федеральных налогов.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proofErr w:type="gramStart"/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Представители Минфина России со ссылкой на</w:t>
      </w:r>
      <w:r w:rsidRPr="008E23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</w:t>
      </w:r>
      <w:hyperlink r:id="rId13" w:anchor="block_1207" w:tgtFrame="_blank" w:history="1">
        <w:r w:rsidRPr="008E2318">
          <w:rPr>
            <w:rFonts w:ascii="Arial" w:eastAsia="Times New Roman" w:hAnsi="Arial" w:cs="Arial"/>
            <w:color w:val="FF0000"/>
            <w:sz w:val="21"/>
            <w:szCs w:val="21"/>
            <w:bdr w:val="none" w:sz="0" w:space="0" w:color="auto" w:frame="1"/>
            <w:lang w:eastAsia="ru-RU"/>
          </w:rPr>
          <w:t>п. 7 ст. 12</w:t>
        </w:r>
      </w:hyperlink>
      <w:r w:rsidRPr="008E23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</w:t>
      </w:r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НК РФ также относят налоги, предусмотренные специальными налоговыми режимами, к федеральным, не указанным в</w:t>
      </w:r>
      <w:r w:rsidRPr="008E23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</w:t>
      </w:r>
      <w:hyperlink r:id="rId14" w:anchor="block_13" w:tgtFrame="_blank" w:history="1">
        <w:r w:rsidRPr="008E2318">
          <w:rPr>
            <w:rFonts w:ascii="Arial" w:eastAsia="Times New Roman" w:hAnsi="Arial" w:cs="Arial"/>
            <w:color w:val="FF0000"/>
            <w:sz w:val="21"/>
            <w:szCs w:val="21"/>
            <w:bdr w:val="none" w:sz="0" w:space="0" w:color="auto" w:frame="1"/>
            <w:lang w:eastAsia="ru-RU"/>
          </w:rPr>
          <w:t>ст. 13</w:t>
        </w:r>
      </w:hyperlink>
      <w:r w:rsidRPr="008E23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</w:t>
      </w:r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НК РФ (</w:t>
      </w:r>
      <w:hyperlink r:id="rId15" w:tgtFrame="_blank" w:history="1">
        <w:r w:rsidRPr="008E2318">
          <w:rPr>
            <w:rFonts w:ascii="Arial" w:eastAsia="Times New Roman" w:hAnsi="Arial" w:cs="Arial"/>
            <w:color w:val="FF0000"/>
            <w:sz w:val="21"/>
            <w:szCs w:val="21"/>
            <w:bdr w:val="none" w:sz="0" w:space="0" w:color="auto" w:frame="1"/>
            <w:lang w:eastAsia="ru-RU"/>
          </w:rPr>
          <w:t>письмо</w:t>
        </w:r>
      </w:hyperlink>
      <w:r w:rsidRPr="008E23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</w:t>
      </w:r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Минфина России от 20.04.2006 N 03-02-07/2-30 (направлено территориальным налоговым органам для руководства и использования в работе</w:t>
      </w:r>
      <w:r w:rsidRPr="008E23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</w:t>
      </w:r>
      <w:hyperlink r:id="rId16" w:tgtFrame="_blank" w:history="1">
        <w:r w:rsidRPr="008E2318">
          <w:rPr>
            <w:rFonts w:ascii="Arial" w:eastAsia="Times New Roman" w:hAnsi="Arial" w:cs="Arial"/>
            <w:color w:val="FF0000"/>
            <w:sz w:val="21"/>
            <w:szCs w:val="21"/>
            <w:bdr w:val="none" w:sz="0" w:space="0" w:color="auto" w:frame="1"/>
            <w:lang w:eastAsia="ru-RU"/>
          </w:rPr>
          <w:t>письмом</w:t>
        </w:r>
      </w:hyperlink>
      <w:r w:rsidRPr="008E231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 </w:t>
      </w:r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ФНС России от 10.05.2006 N ММ-6-19/481@)).</w:t>
      </w:r>
      <w:proofErr w:type="gramEnd"/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FF0000"/>
          <w:sz w:val="21"/>
          <w:szCs w:val="21"/>
          <w:lang w:eastAsia="ru-RU"/>
        </w:rPr>
      </w:pPr>
      <w:bookmarkStart w:id="0" w:name="_GoBack"/>
      <w:proofErr w:type="gramStart"/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>А в письме от 11.01.2009 N 03-02-07/1-3 представители Минфина России при рассмотрении вопроса о зачете (возврате) сумм излишне уплаченного НДФЛ в счет уплаты налога, взимаемого в связи с применением УСН, сообщили, что сумма излишне уплаченного одного федерального налога может быть зачтена в счет недоимки по другому федеральному налогу, тем самым подтвердив отнесение единого налога, уплачиваемого в связи с применением</w:t>
      </w:r>
      <w:proofErr w:type="gramEnd"/>
      <w:r w:rsidRPr="000E3FD8">
        <w:rPr>
          <w:rFonts w:ascii="Arial" w:eastAsia="Times New Roman" w:hAnsi="Arial" w:cs="Arial"/>
          <w:color w:val="FF0000"/>
          <w:sz w:val="21"/>
          <w:szCs w:val="21"/>
          <w:lang w:eastAsia="ru-RU"/>
        </w:rPr>
        <w:t xml:space="preserve"> УСН, именно к федеральным налогам.</w:t>
      </w:r>
    </w:p>
    <w:bookmarkEnd w:id="0"/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Согласно </w:t>
      </w:r>
      <w:hyperlink r:id="rId17" w:anchor="block_6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ст. 6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БК РФ под бюджетной системой РФ понимается основанная на экономических отношениях и государственном устройстве РФ, регулируемая законодательством РФ совокупность федерального бюджета, бюджетов субъектов РФ, местных бюджетов и бюджетов государственных внебюджетных фондов.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со </w:t>
      </w:r>
      <w:hyperlink r:id="rId18" w:anchor="block_40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ст. 40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БК РФ платежи, являющиеся источниками формирования доходов бюджетов бюджетной системы РФ, в частности доходы от федеральных налогов, должны зачисляться на счета органов Федерального казначейства для их распределения этими органами в соответствии с установленными нормативами между бюджетами бюджетной системы РФ.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 на основании </w:t>
      </w:r>
      <w:hyperlink r:id="rId19" w:anchor="block_562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п. 2 ст. 56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БК РФ налог, взимаемый в связи с применением УСН, включая минимальный налог, подлежит зачислению в бюджеты субъектов РФ по нормативу 100%.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При этом доходы от ЕНВД, также по нормативу 100%, подлежат зачислению в доходы местных бюджетов - бюджеты муниципальных районов (городских округов) (</w:t>
      </w:r>
      <w:hyperlink r:id="rId20" w:anchor="block_61012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п. 2 ст. 61.1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БК РФ, </w:t>
      </w:r>
      <w:hyperlink r:id="rId21" w:anchor="block_61022" w:tgtFrame="_blank" w:history="1">
        <w:r w:rsidRPr="000E3FD8">
          <w:rPr>
            <w:rFonts w:ascii="Arial" w:eastAsia="Times New Roman" w:hAnsi="Arial" w:cs="Arial"/>
            <w:color w:val="2060A4"/>
            <w:sz w:val="21"/>
            <w:szCs w:val="21"/>
            <w:bdr w:val="none" w:sz="0" w:space="0" w:color="auto" w:frame="1"/>
            <w:lang w:eastAsia="ru-RU"/>
          </w:rPr>
          <w:t>п. 2 ст. 61.2</w:t>
        </w:r>
      </w:hyperlink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БК РФ).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0E3FD8" w:rsidRPr="000E3FD8" w:rsidRDefault="000E3FD8" w:rsidP="000E3FD8">
      <w:pPr>
        <w:spacing w:after="255" w:line="25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Ответ подготовил:</w:t>
      </w:r>
    </w:p>
    <w:p w:rsidR="000E3FD8" w:rsidRPr="000E3FD8" w:rsidRDefault="000E3FD8" w:rsidP="000E3FD8">
      <w:pPr>
        <w:spacing w:after="255" w:line="25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Эксперт службы Правового консалтинга ГАРАНТ</w:t>
      </w:r>
    </w:p>
    <w:p w:rsidR="000E3FD8" w:rsidRPr="000E3FD8" w:rsidRDefault="000E3FD8" w:rsidP="000E3FD8">
      <w:pPr>
        <w:spacing w:after="255" w:line="25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Гусихин Дмитрий</w:t>
      </w:r>
    </w:p>
    <w:p w:rsidR="000E3FD8" w:rsidRPr="000E3FD8" w:rsidRDefault="000E3FD8" w:rsidP="000E3FD8">
      <w:pPr>
        <w:spacing w:after="255" w:line="25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Контроль качества ответа:</w:t>
      </w:r>
    </w:p>
    <w:p w:rsidR="000E3FD8" w:rsidRPr="000E3FD8" w:rsidRDefault="000E3FD8" w:rsidP="000E3FD8">
      <w:pPr>
        <w:spacing w:after="255" w:line="25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Рецензент службы Правового консалтинга ГАРАНТ</w:t>
      </w:r>
    </w:p>
    <w:p w:rsidR="000E3FD8" w:rsidRPr="000E3FD8" w:rsidRDefault="000E3FD8" w:rsidP="000E3FD8">
      <w:pPr>
        <w:spacing w:after="255" w:line="25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аудитор, член </w:t>
      </w:r>
      <w:proofErr w:type="spellStart"/>
      <w:r w:rsidRPr="000E3FD8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МоАП</w:t>
      </w:r>
      <w:proofErr w:type="spellEnd"/>
      <w:r w:rsidRPr="000E3FD8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 xml:space="preserve"> Мельникова Елена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 ноября 2013 г.</w:t>
      </w:r>
    </w:p>
    <w:p w:rsidR="000E3FD8" w:rsidRPr="000E3FD8" w:rsidRDefault="000E3FD8" w:rsidP="000E3FD8">
      <w:pPr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Материал подготовлен на основе индивидуальной письменной консультации, оказанной в рамках услуги Правовой консалтинг.</w:t>
      </w:r>
    </w:p>
    <w:p w:rsidR="00B26A4D" w:rsidRDefault="000E3FD8" w:rsidP="000E3FD8"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0E3F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22" w:anchor="ixzz3xFIzSvik" w:history="1">
        <w:r w:rsidRPr="000E3FD8">
          <w:rPr>
            <w:rFonts w:ascii="Arial" w:eastAsia="Times New Roman" w:hAnsi="Arial" w:cs="Arial"/>
            <w:color w:val="003399"/>
            <w:sz w:val="21"/>
            <w:szCs w:val="21"/>
            <w:bdr w:val="none" w:sz="0" w:space="0" w:color="auto" w:frame="1"/>
            <w:lang w:eastAsia="ru-RU"/>
          </w:rPr>
          <w:t>http://www.garant.ru/consult/business/507681/#ixzz3xFIzSvik</w:t>
        </w:r>
      </w:hyperlink>
    </w:p>
    <w:sectPr w:rsidR="00B26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72D"/>
    <w:rsid w:val="000E3FD8"/>
    <w:rsid w:val="003C172D"/>
    <w:rsid w:val="008E2318"/>
    <w:rsid w:val="00B2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E3F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E3F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E3FD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E3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E3FD8"/>
    <w:rPr>
      <w:b/>
      <w:bCs/>
    </w:rPr>
  </w:style>
  <w:style w:type="character" w:customStyle="1" w:styleId="apple-converted-space">
    <w:name w:val="apple-converted-space"/>
    <w:basedOn w:val="a0"/>
    <w:rsid w:val="000E3FD8"/>
  </w:style>
  <w:style w:type="character" w:styleId="a6">
    <w:name w:val="Emphasis"/>
    <w:basedOn w:val="a0"/>
    <w:uiPriority w:val="20"/>
    <w:qFormat/>
    <w:rsid w:val="000E3FD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E3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3F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E3F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E3F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E3FD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E3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E3FD8"/>
    <w:rPr>
      <w:b/>
      <w:bCs/>
    </w:rPr>
  </w:style>
  <w:style w:type="character" w:customStyle="1" w:styleId="apple-converted-space">
    <w:name w:val="apple-converted-space"/>
    <w:basedOn w:val="a0"/>
    <w:rsid w:val="000E3FD8"/>
  </w:style>
  <w:style w:type="character" w:styleId="a6">
    <w:name w:val="Emphasis"/>
    <w:basedOn w:val="a0"/>
    <w:uiPriority w:val="20"/>
    <w:qFormat/>
    <w:rsid w:val="000E3FD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E3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3F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7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3324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17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900200/2/" TargetMode="External"/><Relationship Id="rId13" Type="http://schemas.openxmlformats.org/officeDocument/2006/relationships/hyperlink" Target="http://base.garant.ru/10900200/2/" TargetMode="External"/><Relationship Id="rId18" Type="http://schemas.openxmlformats.org/officeDocument/2006/relationships/hyperlink" Target="http://base.garant.ru/12112604/6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base.garant.ru/12112604/9/" TargetMode="External"/><Relationship Id="rId7" Type="http://schemas.openxmlformats.org/officeDocument/2006/relationships/hyperlink" Target="http://base.garant.ru/10900200/2/" TargetMode="External"/><Relationship Id="rId12" Type="http://schemas.openxmlformats.org/officeDocument/2006/relationships/hyperlink" Target="http://base.garant.ru/10900200/2/" TargetMode="External"/><Relationship Id="rId17" Type="http://schemas.openxmlformats.org/officeDocument/2006/relationships/hyperlink" Target="http://base.garant.ru/12112604/1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ase.garant.ru/6199512/" TargetMode="External"/><Relationship Id="rId20" Type="http://schemas.openxmlformats.org/officeDocument/2006/relationships/hyperlink" Target="http://base.garant.ru/12112604/9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10900200/2/" TargetMode="External"/><Relationship Id="rId11" Type="http://schemas.openxmlformats.org/officeDocument/2006/relationships/hyperlink" Target="http://base.garant.ru/10900200/2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base.garant.ru/10900200/2/" TargetMode="External"/><Relationship Id="rId15" Type="http://schemas.openxmlformats.org/officeDocument/2006/relationships/hyperlink" Target="http://base.garant.ru/12147130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base.garant.ru/10900200/2/" TargetMode="External"/><Relationship Id="rId19" Type="http://schemas.openxmlformats.org/officeDocument/2006/relationships/hyperlink" Target="http://base.garant.ru/12112604/8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0900200/2/" TargetMode="External"/><Relationship Id="rId14" Type="http://schemas.openxmlformats.org/officeDocument/2006/relationships/hyperlink" Target="http://base.garant.ru/10900200/2/" TargetMode="External"/><Relationship Id="rId22" Type="http://schemas.openxmlformats.org/officeDocument/2006/relationships/hyperlink" Target="http://www.garant.ru/consult/business/50768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694</Words>
  <Characters>3961</Characters>
  <Application>Microsoft Office Word</Application>
  <DocSecurity>0</DocSecurity>
  <Lines>33</Lines>
  <Paragraphs>9</Paragraphs>
  <ScaleCrop>false</ScaleCrop>
  <Company/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2016-01-14T18:45:00Z</dcterms:created>
  <dcterms:modified xsi:type="dcterms:W3CDTF">2016-01-14T18:47:00Z</dcterms:modified>
</cp:coreProperties>
</file>