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rFonts w:ascii="Arial" w:hAnsi="Arial" w:cs="Arial"/>
          <w:sz w:val="40"/>
          <w:szCs w:val="40"/>
        </w:rPr>
      </w:pPr>
      <w:r>
        <w:rPr>
          <w:rFonts w:cs="Arial" w:ascii="Arial" w:hAnsi="Arial"/>
          <w:b/>
          <w:bCs/>
          <w:sz w:val="40"/>
          <w:szCs w:val="40"/>
        </w:rPr>
        <w:t>Ценовые выгоды БСС «Система Главбух»</w:t>
      </w:r>
    </w:p>
    <w:p>
      <w:pPr>
        <w:pStyle w:val="Normal"/>
        <w:ind w:left="0" w:firstLine="992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</w:t>
      </w:r>
    </w:p>
    <w:tbl>
      <w:tblPr>
        <w:tblStyle w:val="a3"/>
        <w:tblW w:w="10598" w:type="dxa"/>
        <w:jc w:val="left"/>
        <w:tblInd w:w="-284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369"/>
        <w:gridCol w:w="2268"/>
        <w:gridCol w:w="2693"/>
        <w:gridCol w:w="2267"/>
      </w:tblGrid>
      <w:tr>
        <w:trPr>
          <w:trHeight w:val="1050" w:hRule="atLeast"/>
        </w:trPr>
        <w:tc>
          <w:tcPr>
            <w:tcW w:w="3369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b/>
                <w:b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Наполнение </w:t>
            </w:r>
          </w:p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БСС «Система Главбух», </w:t>
            </w:r>
            <w:r>
              <w:rPr>
                <w:rFonts w:cs="Arial" w:ascii="Arial" w:hAnsi="Arial"/>
                <w:sz w:val="18"/>
                <w:szCs w:val="18"/>
              </w:rPr>
              <w:t xml:space="preserve">доступна через Интернет с любого компьютера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от 4646 руб. в мес. </w:t>
            </w:r>
          </w:p>
        </w:tc>
        <w:tc>
          <w:tcPr>
            <w:tcW w:w="2693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СПС «Консультант </w:t>
            </w:r>
          </w:p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Бухгалтер: Версия Проф»</w:t>
            </w:r>
          </w:p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На одном компьютере (локальная или флэш -версия) от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5400 </w:t>
            </w:r>
            <w:r>
              <w:rPr>
                <w:rFonts w:cs="Arial" w:ascii="Arial" w:hAnsi="Arial"/>
                <w:sz w:val="18"/>
                <w:szCs w:val="18"/>
              </w:rPr>
              <w:t xml:space="preserve">руб./ мес. </w:t>
            </w:r>
          </w:p>
        </w:tc>
        <w:tc>
          <w:tcPr>
            <w:tcW w:w="2267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СС «Консультант </w:t>
            </w:r>
          </w:p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Бухгалтер» </w:t>
            </w:r>
          </w:p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На одном компьютере (локальная или флэш -версия) от </w:t>
            </w:r>
            <w:r>
              <w:rPr>
                <w:rFonts w:cs="Arial" w:ascii="Arial" w:hAnsi="Arial"/>
                <w:b/>
                <w:bCs/>
                <w:sz w:val="18"/>
                <w:szCs w:val="18"/>
              </w:rPr>
              <w:t xml:space="preserve">4300  </w:t>
            </w:r>
            <w:r>
              <w:rPr>
                <w:rFonts w:cs="Arial" w:ascii="Arial" w:hAnsi="Arial"/>
                <w:sz w:val="18"/>
                <w:szCs w:val="18"/>
              </w:rPr>
              <w:t>руб./мес.</w:t>
            </w:r>
          </w:p>
        </w:tc>
      </w:tr>
      <w:tr>
        <w:trPr>
          <w:trHeight w:val="727" w:hRule="atLeast"/>
        </w:trPr>
        <w:tc>
          <w:tcPr>
            <w:tcW w:w="3369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Разъяснения </w:t>
            </w:r>
          </w:p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8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>В виде готовых рекомендаций - консультаций и пошаговых инструкций по всем бухгалтерским задачам</w:t>
            </w:r>
          </w:p>
        </w:tc>
        <w:tc>
          <w:tcPr>
            <w:tcW w:w="269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>В виде тематических  подборок «Путеводитель по налогам», «Путеводитель по сделкам», «Путеводитель по кадровым вопросам»</w:t>
            </w:r>
          </w:p>
        </w:tc>
        <w:tc>
          <w:tcPr>
            <w:tcW w:w="22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>В виде тематических  подборок «Путеводитель по налогам»</w:t>
            </w:r>
          </w:p>
        </w:tc>
      </w:tr>
      <w:tr>
        <w:trPr/>
        <w:tc>
          <w:tcPr>
            <w:tcW w:w="3369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Практические разъяснения от специалистов профильных министерств и ведомств </w:t>
            </w:r>
          </w:p>
        </w:tc>
        <w:tc>
          <w:tcPr>
            <w:tcW w:w="22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69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16" w:hRule="atLeast"/>
        </w:trPr>
        <w:tc>
          <w:tcPr>
            <w:tcW w:w="3369" w:type="dxa"/>
            <w:tcBorders/>
            <w:shd w:fill="auto" w:val="clear"/>
            <w:tcMar>
              <w:left w:w="108" w:type="dxa"/>
            </w:tcMar>
          </w:tcPr>
          <w:tbl>
            <w:tblPr>
              <w:tblW w:w="1459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 w:noVBand="0" w:noHBand="0" w:lastColumn="0" w:firstColumn="0" w:lastRow="0" w:firstRow="0"/>
            </w:tblPr>
            <w:tblGrid>
              <w:gridCol w:w="1459"/>
            </w:tblGrid>
            <w:tr>
              <w:trPr>
                <w:trHeight w:val="81" w:hRule="atLeast"/>
              </w:trPr>
              <w:tc>
                <w:tcPr>
                  <w:tcW w:w="1459" w:type="dxa"/>
                  <w:tcBorders/>
                  <w:shd w:fill="auto" w:val="clear"/>
                </w:tcPr>
                <w:p>
                  <w:pPr>
                    <w:pStyle w:val="Normal"/>
                    <w:ind w:left="0" w:hanging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 xml:space="preserve">Налоги, бухучет </w:t>
                  </w:r>
                </w:p>
              </w:tc>
            </w:tr>
          </w:tbl>
          <w:p>
            <w:pPr>
              <w:pStyle w:val="Normal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 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 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tbl>
            <w:tblPr>
              <w:tblW w:w="1707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 w:noVBand="0" w:noHBand="0" w:lastColumn="0" w:firstColumn="0" w:lastRow="0" w:firstRow="0"/>
            </w:tblPr>
            <w:tblGrid>
              <w:gridCol w:w="1707"/>
            </w:tblGrid>
            <w:tr>
              <w:trPr>
                <w:trHeight w:val="81" w:hRule="atLeast"/>
              </w:trPr>
              <w:tc>
                <w:tcPr>
                  <w:tcW w:w="1707" w:type="dxa"/>
                  <w:tcBorders/>
                  <w:shd w:fill="auto" w:val="clear"/>
                </w:tcPr>
                <w:p>
                  <w:pPr>
                    <w:pStyle w:val="Normal"/>
                    <w:ind w:left="0" w:hanging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 xml:space="preserve">Кадровые вопросы </w:t>
                  </w:r>
                </w:p>
              </w:tc>
            </w:tr>
          </w:tbl>
          <w:p>
            <w:pPr>
              <w:pStyle w:val="Normal"/>
              <w:ind w:left="0" w:hang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 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tbl>
            <w:tblPr>
              <w:tblW w:w="2023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 w:noVBand="0" w:noHBand="0" w:lastColumn="0" w:firstColumn="0" w:lastRow="0" w:firstRow="0"/>
            </w:tblPr>
            <w:tblGrid>
              <w:gridCol w:w="2023"/>
            </w:tblGrid>
            <w:tr>
              <w:trPr>
                <w:trHeight w:val="81" w:hRule="atLeast"/>
              </w:trPr>
              <w:tc>
                <w:tcPr>
                  <w:tcW w:w="2023" w:type="dxa"/>
                  <w:tcBorders/>
                  <w:shd w:fill="auto" w:val="clear"/>
                </w:tcPr>
                <w:p>
                  <w:pPr>
                    <w:pStyle w:val="Normal"/>
                    <w:ind w:left="0" w:hanging="0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cs="Arial" w:ascii="Arial" w:hAnsi="Arial"/>
                      <w:color w:val="000000"/>
                      <w:sz w:val="18"/>
                      <w:szCs w:val="18"/>
                    </w:rPr>
                    <w:t xml:space="preserve">Юридические вопросы </w:t>
                  </w:r>
                </w:p>
              </w:tc>
            </w:tr>
          </w:tbl>
          <w:p>
            <w:pPr>
              <w:pStyle w:val="Normal"/>
              <w:ind w:left="0" w:hang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 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hanging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cs="Arial" w:ascii="Arial" w:hAnsi="Arial"/>
                <w:color w:val="000000"/>
                <w:sz w:val="18"/>
                <w:szCs w:val="18"/>
              </w:rPr>
              <w:t>Личная бухгалтерия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 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05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>Помощь экспертов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Письменный ответ эксперта в течении 24 ч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Круглосуточный онлайн-помощник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05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</w:rPr>
              <w:t>Правовая база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  <w:tr>
        <w:trPr>
          <w:trHeight w:val="389" w:hRule="atLeast"/>
        </w:trPr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Федеральное законодательство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Судебная практика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 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Региональное законодательство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05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</w:rPr>
              <w:t>Формы и образцы документов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Унифицированные формы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Формы для внутреннего и внешнего документооборота компании с примерами  заполнения 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 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Подсказки и комментарии к формам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Видеосеминары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05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</w:rPr>
              <w:t xml:space="preserve"> </w:t>
            </w:r>
            <w:r>
              <w:rPr>
                <w:rFonts w:cs="Arial" w:ascii="Arial" w:hAnsi="Arial"/>
                <w:b/>
                <w:bCs/>
              </w:rPr>
              <w:t>Журналы и книги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Статьи из журналов  и книг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Полные электронные версии журналов и книг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Актуальность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hanging="0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В день выхода в печать</w:t>
            </w:r>
          </w:p>
        </w:tc>
        <w:tc>
          <w:tcPr>
            <w:tcW w:w="4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color w:val="000000"/>
                <w:sz w:val="18"/>
                <w:szCs w:val="18"/>
              </w:rPr>
              <w:t>Через 2-3- недели после выхода печатного издания</w:t>
            </w:r>
          </w:p>
        </w:tc>
      </w:tr>
      <w:tr>
        <w:trPr/>
        <w:tc>
          <w:tcPr>
            <w:tcW w:w="105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</w:rPr>
              <w:t>Доступность для работы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В любое время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С любого устройства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>В любом месте с Интернет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105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bCs/>
              </w:rPr>
              <w:t xml:space="preserve">Сервисы </w:t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Электронная отчетность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Высшая школа Главбуха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>Расчетчик  зарплат,  отпускных, пособий  и др выплат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>Расчетчик НДС, транспортного налога,  налоговой нагрузки и др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3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Default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18"/>
                <w:szCs w:val="18"/>
              </w:rPr>
              <w:t xml:space="preserve">Расчетчик штрафов, пеней и др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0" w:firstLine="284"/>
              <w:rPr>
                <w:rFonts w:ascii="Arial" w:hAnsi="Arial" w:cs="Arial"/>
                <w:b/>
                <w:b/>
                <w:sz w:val="28"/>
                <w:szCs w:val="28"/>
              </w:rPr>
            </w:pPr>
            <w:r>
              <w:rPr>
                <w:rFonts w:cs="Arial" w:ascii="Arial" w:hAnsi="Arial"/>
                <w:b/>
                <w:sz w:val="28"/>
                <w:szCs w:val="28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Default"/>
        <w:rPr/>
      </w:pPr>
      <w:r>
        <w:rPr/>
      </w:r>
    </w:p>
    <w:sectPr>
      <w:type w:val="nextPage"/>
      <w:pgSz w:w="11906" w:h="16838"/>
      <w:pgMar w:left="85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Droid Sans Fallback" w:cs="DejaVu Sans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DejaVu Sans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DejaVu Sans"/>
    </w:rPr>
  </w:style>
  <w:style w:type="paragraph" w:styleId="Default" w:customStyle="1">
    <w:name w:val="Default"/>
    <w:qFormat/>
    <w:rsid w:val="00341646"/>
    <w:pPr>
      <w:widowControl/>
      <w:suppressAutoHyphens w:val="true"/>
      <w:bidi w:val="0"/>
      <w:jc w:val="left"/>
    </w:pPr>
    <w:rPr>
      <w:rFonts w:ascii="Cambria" w:hAnsi="Cambria" w:cs="Cambria" w:eastAsia="Calibri"/>
      <w:color w:val="000000"/>
      <w:sz w:val="24"/>
      <w:szCs w:val="24"/>
      <w:lang w:val="ru-RU" w:eastAsia="en-US" w:bidi="ar-SA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41646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LibreOffice/4.4.7.2$Linux_X86_64 LibreOffice_project/40m0$Build-2</Application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2016-03-03T13:46:00Z</dcterms:created>
  <dc:creator>Lenovo</dc:creator>
  <dc:language>ru-RU</dc:language>
  <dcterms:modified xsi:type="dcterms:W3CDTF">2016-03-10T14:03:23Z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