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9BF" w:rsidRDefault="006159B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jc w:val="right"/>
      </w:pPr>
      <w:r>
        <w:t>"Информационный бюллетень "Экспресс-бухгалтерия", 2015, N 39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Title"/>
        <w:jc w:val="center"/>
      </w:pPr>
      <w:r>
        <w:t>ВАЛЮТНАЯ ВЫРУЧКА ПРИ УСН: ОБМЕННАЯ ОПЕРАЦИЯ В УЧЕТЕ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 xml:space="preserve">При применении "упрощенки" доходы и расходы в инвалюте для целей налогообложения пересчитываются в рубли по курсу Банка России соответственно на дату получения дохода или расхода. При этом Налоговый </w:t>
      </w:r>
      <w:hyperlink r:id="rId5" w:history="1">
        <w:r>
          <w:rPr>
            <w:color w:val="0000FF"/>
          </w:rPr>
          <w:t>кодекс</w:t>
        </w:r>
      </w:hyperlink>
      <w:r>
        <w:t xml:space="preserve"> не требует проводить переоценку валютных ценностей и учитывать ее результаты. Казалось бы, не жизнь, а малина - никаких тебе курсовых разниц (ни положительных, ни отрицательных) в налоговом учете. Однако жизнь "упрощенца" перестает быть "сладкой", если возникнет необходимость полученную инвалютную выручку продать. В этой части не так давно "смуту" навели представители Минфина. И более полугода у чиновников ушло на то, чтобы решиться ее развеять. Однако обо всем по порядку.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 xml:space="preserve">Мы не будем подробно останавливаться на порядке признания доходов на УСН от реализации товаров (работ, услуг). Здесь все достаточно просто. Согласно </w:t>
      </w:r>
      <w:hyperlink r:id="rId6" w:history="1">
        <w:r>
          <w:rPr>
            <w:color w:val="0000FF"/>
          </w:rPr>
          <w:t>п. 1 ст. 346.17</w:t>
        </w:r>
      </w:hyperlink>
      <w:r>
        <w:t xml:space="preserve"> Налогового кодекса (далее - Кодекс) датой получения доходов признается день поступления денежных средств на счета в банках и (или) в кассу, получения иного имущества (работ, услуг) и (или) имущественных прав, а также погашения задолженности (оплаты) налогоплательщику иным способом. Проще говоря, на УСН доходы признаются "кассовым" методом. При этом </w:t>
      </w:r>
      <w:hyperlink r:id="rId7" w:history="1">
        <w:r>
          <w:rPr>
            <w:color w:val="0000FF"/>
          </w:rPr>
          <w:t>п. 3 ст. 346.18</w:t>
        </w:r>
      </w:hyperlink>
      <w:r>
        <w:t xml:space="preserve"> Кодекса закреплено, что доходы и расходы, выраженные в иностранной валюте, учитываются в совокупности с рублевыми доходами и расходами. Просто инвалютные поступления или затраты следует пересчитать в рубли по официальному курсу Банка России, установленному соответственно на дату получения доходов и (или) дату осуществления расходов. Причем переоценка инвалютных ценностей не производится и, соответственно, ее результаты в налоговом учете "упрощенцы" не отражают (</w:t>
      </w:r>
      <w:hyperlink r:id="rId8" w:history="1">
        <w:r>
          <w:rPr>
            <w:color w:val="0000FF"/>
          </w:rPr>
          <w:t>п. 5 ст. 346.17</w:t>
        </w:r>
      </w:hyperlink>
      <w:r>
        <w:t xml:space="preserve"> НК).</w:t>
      </w:r>
    </w:p>
    <w:p w:rsidR="006159BF" w:rsidRDefault="006159BF">
      <w:pPr>
        <w:pStyle w:val="ConsPlusNormal"/>
        <w:ind w:firstLine="540"/>
        <w:jc w:val="both"/>
      </w:pPr>
      <w:r>
        <w:t xml:space="preserve">Таким образом, с учетом инвалютной выручки на УСН все более-менее ясно. Валютная выручка признается доходом на дату ее поступления на транзитный счет организации. Причем на эту же дату она пересчитывается и в рубли по курсу Банка России (см. Письма Минфина России от 27 января 2012 г. </w:t>
      </w:r>
      <w:hyperlink r:id="rId9" w:history="1">
        <w:r>
          <w:rPr>
            <w:color w:val="0000FF"/>
          </w:rPr>
          <w:t>N 03-11-06/2/10</w:t>
        </w:r>
      </w:hyperlink>
      <w:r>
        <w:t xml:space="preserve">, от 20 декабря 2011 г. </w:t>
      </w:r>
      <w:hyperlink r:id="rId10" w:history="1">
        <w:r>
          <w:rPr>
            <w:color w:val="0000FF"/>
          </w:rPr>
          <w:t>N 03-11-06/2/181</w:t>
        </w:r>
      </w:hyperlink>
      <w:r>
        <w:t xml:space="preserve"> и т.д.).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bookmarkStart w:id="0" w:name="P10"/>
      <w:bookmarkEnd w:id="0"/>
      <w:r>
        <w:t>Пример 1. ООО "Ромашка" применяет УСН с объектом налогообложения "доходы минус расходы".</w:t>
      </w:r>
    </w:p>
    <w:p w:rsidR="006159BF" w:rsidRDefault="006159BF">
      <w:pPr>
        <w:pStyle w:val="ConsPlusNormal"/>
        <w:ind w:firstLine="540"/>
        <w:jc w:val="both"/>
      </w:pPr>
      <w:r>
        <w:t>15 сентября 2015 г. общество получило на транзитный валютный счет в счет поставки товаров иностранному покупателю аванс в сумме 2000 евро.</w:t>
      </w:r>
    </w:p>
    <w:p w:rsidR="006159BF" w:rsidRDefault="006159BF">
      <w:pPr>
        <w:pStyle w:val="ConsPlusNormal"/>
        <w:ind w:firstLine="540"/>
        <w:jc w:val="both"/>
      </w:pPr>
      <w:r>
        <w:t>Доходы на УСН признаются в момент поступления денежных средств на счет налогоплательщика. При этом инвалютные поступления пересчитываются в рубли на указанную дату по курсу Банка России.</w:t>
      </w:r>
    </w:p>
    <w:p w:rsidR="006159BF" w:rsidRDefault="006159BF">
      <w:pPr>
        <w:pStyle w:val="ConsPlusNormal"/>
        <w:ind w:firstLine="540"/>
        <w:jc w:val="both"/>
      </w:pPr>
      <w:r>
        <w:t>На 15 сентября 2015 г. курс евро, установленный Банком России, составлял 77,1313 руб/евро. Соответственно, на 15 сентября 2015 г. ООО "Ромашка" признает в составе доходов полученный инвалютный аванс в сумме 154 262,6 руб.:</w:t>
      </w:r>
    </w:p>
    <w:p w:rsidR="006159BF" w:rsidRDefault="006159BF">
      <w:pPr>
        <w:pStyle w:val="ConsPlusNormal"/>
        <w:ind w:firstLine="540"/>
        <w:jc w:val="both"/>
      </w:pPr>
      <w:r>
        <w:t>Дебет 52 Кредит 62, субсчет "Авансы полученные",</w:t>
      </w:r>
    </w:p>
    <w:p w:rsidR="006159BF" w:rsidRDefault="006159BF">
      <w:pPr>
        <w:pStyle w:val="ConsPlusNormal"/>
        <w:ind w:firstLine="540"/>
        <w:jc w:val="both"/>
      </w:pPr>
      <w:r>
        <w:t>- 154 262,6 руб. - получен аванс в валюте.</w:t>
      </w:r>
    </w:p>
    <w:p w:rsidR="006159BF" w:rsidRDefault="006159BF">
      <w:pPr>
        <w:pStyle w:val="ConsPlusNormal"/>
        <w:ind w:firstLine="540"/>
        <w:jc w:val="both"/>
      </w:pPr>
      <w:r>
        <w:t xml:space="preserve">Обратите внимание! </w:t>
      </w:r>
      <w:hyperlink r:id="rId11" w:history="1">
        <w:r>
          <w:rPr>
            <w:color w:val="0000FF"/>
          </w:rPr>
          <w:t>Форма</w:t>
        </w:r>
      </w:hyperlink>
      <w:r>
        <w:t xml:space="preserve"> книги учета доходов и расходов организаций и ИП, применяющих "упрощенку", утверждена Приказом Минфина России от 22 октября 2012 г. N 135н. На </w:t>
      </w:r>
      <w:hyperlink r:id="rId12" w:history="1">
        <w:r>
          <w:rPr>
            <w:color w:val="0000FF"/>
          </w:rPr>
          <w:t>титульном листе</w:t>
        </w:r>
      </w:hyperlink>
      <w:r>
        <w:t xml:space="preserve"> книги предусмотрена единица измерения: руб., код по Общероссийскому классификатору единиц измерения ОК 015-94 (МК 002-97), утвержденному Постановлением Госстандарта России от 26 декабря 1994 г. N 366, - </w:t>
      </w:r>
      <w:hyperlink r:id="rId13" w:history="1">
        <w:r>
          <w:rPr>
            <w:color w:val="0000FF"/>
          </w:rPr>
          <w:t>383</w:t>
        </w:r>
      </w:hyperlink>
      <w:r>
        <w:t xml:space="preserve">. По данному коду в вышеуказанном Общероссийском </w:t>
      </w:r>
      <w:hyperlink r:id="rId14" w:history="1">
        <w:r>
          <w:rPr>
            <w:color w:val="0000FF"/>
          </w:rPr>
          <w:t>классификаторе</w:t>
        </w:r>
      </w:hyperlink>
      <w:r>
        <w:t xml:space="preserve"> предусмотрена экономическая единица измерения - рубль. Поэтому в названной </w:t>
      </w:r>
      <w:hyperlink r:id="rId15" w:history="1">
        <w:r>
          <w:rPr>
            <w:color w:val="0000FF"/>
          </w:rPr>
          <w:t>книге учета</w:t>
        </w:r>
      </w:hyperlink>
      <w:r>
        <w:t xml:space="preserve"> доходов и расходов все показатели следует указывать в полных рублях.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jc w:val="center"/>
      </w:pPr>
      <w:r>
        <w:t>Обменная операция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>Ситуация значительно осложняется, когда компания на УСН продает инвалютную выручку, то есть по факту обменивает ее на рубли. Как эта сделка должна быть отражена в налоговом учете?</w:t>
      </w:r>
    </w:p>
    <w:p w:rsidR="006159BF" w:rsidRDefault="006159BF">
      <w:pPr>
        <w:pStyle w:val="ConsPlusNormal"/>
        <w:ind w:firstLine="540"/>
        <w:jc w:val="both"/>
      </w:pPr>
      <w:r>
        <w:t xml:space="preserve">Свой вариант решения данной проблемы предложил Минфин России в </w:t>
      </w:r>
      <w:hyperlink r:id="rId16" w:history="1">
        <w:r>
          <w:rPr>
            <w:color w:val="0000FF"/>
          </w:rPr>
          <w:t>Письме</w:t>
        </w:r>
      </w:hyperlink>
      <w:r>
        <w:t xml:space="preserve"> от 22 января 2015 г. N 03-11-06/2/1645. Однако он далеко не бесспорен.</w:t>
      </w:r>
    </w:p>
    <w:p w:rsidR="006159BF" w:rsidRDefault="006159BF">
      <w:pPr>
        <w:pStyle w:val="ConsPlusNormal"/>
        <w:ind w:firstLine="540"/>
        <w:jc w:val="both"/>
      </w:pPr>
      <w:r>
        <w:t xml:space="preserve">Так, чиновники исходят из того, что согласно </w:t>
      </w:r>
      <w:hyperlink r:id="rId17" w:history="1">
        <w:r>
          <w:rPr>
            <w:color w:val="0000FF"/>
          </w:rPr>
          <w:t>п. 3 ст. 38</w:t>
        </w:r>
      </w:hyperlink>
      <w:r>
        <w:t xml:space="preserve"> Кодекса товаром признается любое имущество, реализуемое либо предназначенное для реализации. При этом в соответствии с </w:t>
      </w:r>
      <w:hyperlink r:id="rId18" w:history="1">
        <w:r>
          <w:rPr>
            <w:color w:val="0000FF"/>
          </w:rPr>
          <w:t>п. 2 ст. 130</w:t>
        </w:r>
      </w:hyperlink>
      <w:r>
        <w:t xml:space="preserve"> Гражданского кодекса вещи, не относящиеся к недвижимости, включая деньги и ценные бумаги, признаются движимым имуществом. На этом основании в Минфине приходят к выводу, что реализуемые деньги (валюта) относятся к товарам. Соответственно, продажу валюты нужно отражать в налоговом учете так же, как и продажу товаров. При этом чиновники отмечают также, что ни в доходах, ни в расходах разницу между курсом продажи и официальным курсом Банка России учесть нельзя (опять же </w:t>
      </w:r>
      <w:hyperlink r:id="rId19" w:history="1">
        <w:r>
          <w:rPr>
            <w:color w:val="0000FF"/>
          </w:rPr>
          <w:t>Кодекс</w:t>
        </w:r>
      </w:hyperlink>
      <w:r>
        <w:t xml:space="preserve"> такой возможности не дает).</w:t>
      </w:r>
    </w:p>
    <w:p w:rsidR="006159BF" w:rsidRDefault="006159BF">
      <w:pPr>
        <w:pStyle w:val="ConsPlusNormal"/>
        <w:ind w:firstLine="540"/>
        <w:jc w:val="both"/>
      </w:pPr>
      <w:r>
        <w:t>В чем здесь загвоздка? Во-первых, если рассматривать инвалюту как товар, то по идее "упрощенец" тогда вправе учесть в составе расходов как затраты на ее приобретение, так и банковскую комиссию за обмен валюты. Но как это сделать? С банковской комиссией проблем нет. А вот как учесть расходы на приобретение инвалюты, если на самом деле ее никто не приобретал: брать сумму валюты, пересчитанную в рубли по курсу Банка России на дату поступления валюты на транзитный счет? Или же в данном случае речь идет о пересчете по курсу Банка России, установленному непосредственно на день продажи валюты?</w:t>
      </w:r>
    </w:p>
    <w:p w:rsidR="006159BF" w:rsidRDefault="006159BF">
      <w:pPr>
        <w:pStyle w:val="ConsPlusNormal"/>
        <w:ind w:firstLine="540"/>
        <w:jc w:val="both"/>
      </w:pPr>
      <w:r>
        <w:t xml:space="preserve">Во-вторых, все эти вопросы актуальны для "упрощенцев", которые уплачивают единый налог с разницы между доходами и расходами. А как же быть, если компания (ИП) применяет УСН с объектом налогообложения "доходы"? Такие налогоплательщики не вправе учитывать при расчете единого налога покупную стоимость товара. А стало быть, если следовать рекомендации Минфина, у нас получается, что "упрощенный" налог должен быть уплачен с полученной инвалютной выручки </w:t>
      </w:r>
      <w:proofErr w:type="gramStart"/>
      <w:r>
        <w:t>и...</w:t>
      </w:r>
      <w:proofErr w:type="gramEnd"/>
      <w:r>
        <w:t xml:space="preserve"> с доходов от ее продажи. Невооруженным глазом видно, что при таком подходе имеет место двойное налогообложение.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jc w:val="center"/>
      </w:pPr>
      <w:r>
        <w:t>Работа над ошибками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 xml:space="preserve">В </w:t>
      </w:r>
      <w:hyperlink r:id="rId20" w:history="1">
        <w:r>
          <w:rPr>
            <w:color w:val="0000FF"/>
          </w:rPr>
          <w:t>Письме</w:t>
        </w:r>
      </w:hyperlink>
      <w:r>
        <w:t xml:space="preserve"> от 28 августа 2015 г. N 03-11-09/49620 представители Минфина России решили уточнить свою позицию по рассматриваемому вопросу. И надо сказать, уточнение получилось весьма кардинальным.</w:t>
      </w:r>
    </w:p>
    <w:p w:rsidR="006159BF" w:rsidRDefault="006159BF">
      <w:pPr>
        <w:pStyle w:val="ConsPlusNormal"/>
        <w:ind w:firstLine="540"/>
        <w:jc w:val="both"/>
      </w:pPr>
      <w:r>
        <w:t xml:space="preserve">Чиновники вдруг обнаружили, что согласно </w:t>
      </w:r>
      <w:hyperlink r:id="rId21" w:history="1">
        <w:r>
          <w:rPr>
            <w:color w:val="0000FF"/>
          </w:rPr>
          <w:t>пп. 1 п. 3 ст. 39</w:t>
        </w:r>
      </w:hyperlink>
      <w:r>
        <w:t xml:space="preserve"> Кодекса осуществление операций, связанных с обращением российской или иностранной валюты (за исключением целей нумизматики), </w:t>
      </w:r>
      <w:r>
        <w:rPr>
          <w:b/>
        </w:rPr>
        <w:t>не</w:t>
      </w:r>
      <w:r>
        <w:t xml:space="preserve"> признается реализацией товаров, работ или услуг. Кстати говоря, это вполне логично. Ведь в конечном счете организация "конвертирует" свои же собственные средства. Так с чего бы это ей дважды с них налог-то платить?</w:t>
      </w:r>
    </w:p>
    <w:p w:rsidR="006159BF" w:rsidRDefault="006159BF">
      <w:pPr>
        <w:pStyle w:val="ConsPlusNormal"/>
        <w:ind w:firstLine="540"/>
        <w:jc w:val="both"/>
      </w:pPr>
      <w:r>
        <w:t>Таким образом, в общем случае продажа валюты не является для целей налогообложения реализацией. То есть на сей раз Минфин фактически перечеркнул свои же собственные рекомендации по учету операций по продаже валютной выручки "упрощенцами".</w:t>
      </w:r>
    </w:p>
    <w:p w:rsidR="006159BF" w:rsidRDefault="006159BF">
      <w:pPr>
        <w:pStyle w:val="ConsPlusNormal"/>
        <w:ind w:firstLine="540"/>
        <w:jc w:val="both"/>
      </w:pPr>
      <w:r>
        <w:t xml:space="preserve">Видимо, чтобы несколько "заретушировать" свой промах, чиновники отметили, что в соответствии с </w:t>
      </w:r>
      <w:hyperlink r:id="rId22" w:history="1">
        <w:r>
          <w:rPr>
            <w:color w:val="0000FF"/>
          </w:rPr>
          <w:t>п. 6 ст. 5</w:t>
        </w:r>
      </w:hyperlink>
      <w:r>
        <w:t xml:space="preserve"> и </w:t>
      </w:r>
      <w:hyperlink r:id="rId23" w:history="1">
        <w:r>
          <w:rPr>
            <w:color w:val="0000FF"/>
          </w:rPr>
          <w:t>ст. 13</w:t>
        </w:r>
      </w:hyperlink>
      <w:r>
        <w:t xml:space="preserve"> Закона от 2 декабря 1990 г. N 395-1 "О банках и банковской деятельности" купля и продажа валюты в наличной и безналичной форме относятся к банковским операциям, осуществляемым на основании лицензии, выдаваемой Банком России. И для банков инвалюта как </w:t>
      </w:r>
      <w:proofErr w:type="gramStart"/>
      <w:r>
        <w:t>раз таки</w:t>
      </w:r>
      <w:proofErr w:type="gramEnd"/>
      <w:r>
        <w:t xml:space="preserve"> является имуществом (</w:t>
      </w:r>
      <w:hyperlink r:id="rId24" w:history="1">
        <w:r>
          <w:rPr>
            <w:color w:val="0000FF"/>
          </w:rPr>
          <w:t>ст. 141</w:t>
        </w:r>
      </w:hyperlink>
      <w:r>
        <w:t xml:space="preserve"> ГК), реализуемым либо предназначенным для реализации, что соответствует признакам товара. Между тем представители Минфина забыли упомянуть, что банки в силу </w:t>
      </w:r>
      <w:hyperlink r:id="rId25" w:history="1">
        <w:r>
          <w:rPr>
            <w:color w:val="0000FF"/>
          </w:rPr>
          <w:t>пп. 2 п. 3 ст. 346.12</w:t>
        </w:r>
      </w:hyperlink>
      <w:r>
        <w:t xml:space="preserve"> Кодекса вообще-то не вправе применять "упрощенку". Так что "маскировка" у финансистов все же вышла какая-то "хлипкая".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jc w:val="center"/>
      </w:pPr>
      <w:r>
        <w:t>Итого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 xml:space="preserve">Итак, вернемся к главному вопросу: как же учитывать продажу валютной выручки? Оказалось, все достаточно просто. Ведь "упрощенцы", как известно, учитывают доходы по "прибыльным" </w:t>
      </w:r>
      <w:r>
        <w:lastRenderedPageBreak/>
        <w:t>нормам (</w:t>
      </w:r>
      <w:hyperlink r:id="rId26" w:history="1">
        <w:r>
          <w:rPr>
            <w:color w:val="0000FF"/>
          </w:rPr>
          <w:t>п. 1 ст. 346.15</w:t>
        </w:r>
      </w:hyperlink>
      <w:r>
        <w:t xml:space="preserve"> НК). А согласно </w:t>
      </w:r>
      <w:hyperlink r:id="rId27" w:history="1">
        <w:r>
          <w:rPr>
            <w:color w:val="0000FF"/>
          </w:rPr>
          <w:t>п. 2 ст. 250</w:t>
        </w:r>
      </w:hyperlink>
      <w:r>
        <w:t xml:space="preserve"> Кодекса к внереализационным доходам относятся доходы в виде положительной (отрицательной) курсовой разницы, образующейся вследствие отклонения курса продажи (покупки) иностранной валюты от официального курса, установленного Банком России на дату перехода права собственности на инвалюту.</w:t>
      </w:r>
    </w:p>
    <w:p w:rsidR="006159BF" w:rsidRDefault="006159BF">
      <w:pPr>
        <w:pStyle w:val="ConsPlusNormal"/>
        <w:ind w:firstLine="540"/>
        <w:jc w:val="both"/>
      </w:pPr>
      <w:r>
        <w:t>Таким образом, в рассматриваемой ситуации "упрощенцем" в учете должна быть отражена лишь разница между курсом, по которому валютная выручка была продана, и официальным курсом Банка России на дату продажи. Причем данное правило распространяется на всех "упрощенцев" вне зависимости от применяемого ими объекта налогообложения. А "доходно-расходные" "упрощенцы" не смогут учесть при налогообложении отрицательную разницу, которая возникнет в случае, если курс продажи окажется ниже официального. Ведь такая разница в закрытом перечне расходов по УСН не предусмотрена (</w:t>
      </w:r>
      <w:hyperlink r:id="rId28" w:history="1">
        <w:r>
          <w:rPr>
            <w:color w:val="0000FF"/>
          </w:rPr>
          <w:t>п. 1 ст. 346.16</w:t>
        </w:r>
      </w:hyperlink>
      <w:r>
        <w:t xml:space="preserve"> НК).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ind w:firstLine="540"/>
        <w:jc w:val="both"/>
      </w:pPr>
      <w:r>
        <w:t xml:space="preserve">Пример 2. Воспользуемся условиями </w:t>
      </w:r>
      <w:hyperlink w:anchor="P10" w:history="1">
        <w:r>
          <w:rPr>
            <w:color w:val="0000FF"/>
          </w:rPr>
          <w:t>примера 1</w:t>
        </w:r>
      </w:hyperlink>
      <w:r>
        <w:t>. Предположим, что 17 сентября 2015 г. ООО "Ромашка" решило продать 2000 евро банку по курсу 75,25 руб/евро.</w:t>
      </w:r>
    </w:p>
    <w:p w:rsidR="006159BF" w:rsidRDefault="006159BF">
      <w:pPr>
        <w:pStyle w:val="ConsPlusNormal"/>
        <w:ind w:firstLine="540"/>
        <w:jc w:val="both"/>
      </w:pPr>
      <w:r>
        <w:t>Курс Банка России на 17 сентября 2015 г. составляет 74,2407 руб/евро.</w:t>
      </w:r>
    </w:p>
    <w:p w:rsidR="006159BF" w:rsidRDefault="006159BF">
      <w:pPr>
        <w:pStyle w:val="ConsPlusNormal"/>
        <w:ind w:firstLine="540"/>
        <w:jc w:val="both"/>
      </w:pPr>
      <w:r>
        <w:t>В результате продажи инвалюты общество получило на свой счет 150 500 руб. (75,25 руб. x 2000 евро). При этом налогооблагаемым доходом признается только сумма 2018,6 руб. (150 500 руб. - 74,2407 руб/евро x 2000 евро).</w:t>
      </w:r>
    </w:p>
    <w:p w:rsidR="006159BF" w:rsidRDefault="006159BF">
      <w:pPr>
        <w:pStyle w:val="ConsPlusNormal"/>
        <w:ind w:firstLine="540"/>
        <w:jc w:val="both"/>
      </w:pPr>
    </w:p>
    <w:p w:rsidR="006159BF" w:rsidRDefault="006159BF">
      <w:pPr>
        <w:pStyle w:val="ConsPlusNormal"/>
        <w:jc w:val="right"/>
      </w:pPr>
      <w:r>
        <w:t>С.Ремчуков</w:t>
      </w:r>
    </w:p>
    <w:p w:rsidR="006159BF" w:rsidRDefault="006159BF">
      <w:pPr>
        <w:pStyle w:val="ConsPlusNormal"/>
      </w:pPr>
      <w:r>
        <w:t>Подписано в печать</w:t>
      </w:r>
    </w:p>
    <w:p w:rsidR="006159BF" w:rsidRDefault="006159BF">
      <w:pPr>
        <w:pStyle w:val="ConsPlusNormal"/>
      </w:pPr>
      <w:r>
        <w:t>19.10.2015</w:t>
      </w:r>
    </w:p>
    <w:p w:rsidR="006159BF" w:rsidRDefault="006159BF">
      <w:pPr>
        <w:pStyle w:val="ConsPlusNormal"/>
      </w:pPr>
    </w:p>
    <w:p w:rsidR="006159BF" w:rsidRDefault="006159BF">
      <w:pPr>
        <w:pStyle w:val="ConsPlusNormal"/>
      </w:pPr>
    </w:p>
    <w:p w:rsidR="006159BF" w:rsidRDefault="006159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03C27" w:rsidRDefault="00603C27">
      <w:bookmarkStart w:id="1" w:name="_GoBack"/>
      <w:bookmarkEnd w:id="1"/>
    </w:p>
    <w:sectPr w:rsidR="00603C27" w:rsidSect="00E5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9BF"/>
    <w:rsid w:val="00603C27"/>
    <w:rsid w:val="0061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00C35-DDCE-41C8-868B-4EEA1CA7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59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59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59B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2CA52DDCFD650B4622D896392016D2A9A50C53A6B022E2AB29DB62CA0932C4A8143608EA4BA5q868H" TargetMode="External"/><Relationship Id="rId13" Type="http://schemas.openxmlformats.org/officeDocument/2006/relationships/hyperlink" Target="consultantplus://offline/ref=442CA52DDCFD650B4622D896392016D2A9A50252ABBF26E2AB29DB62CA0932C4A8143608EC42A58F7AqD6FH" TargetMode="External"/><Relationship Id="rId18" Type="http://schemas.openxmlformats.org/officeDocument/2006/relationships/hyperlink" Target="consultantplus://offline/ref=442CA52DDCFD650B4622D896392016D2A9A50356ABBF24E2AB29DB62CA0932C4A8143608EC42A58A7BqD6BH" TargetMode="External"/><Relationship Id="rId26" Type="http://schemas.openxmlformats.org/officeDocument/2006/relationships/hyperlink" Target="consultantplus://offline/ref=442CA52DDCFD650B4622D896392016D2A9A50C53A6B022E2AB29DB62CA0932C4A8143608EC44A6q865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42CA52DDCFD650B4622D896392016D2A9A50C57A7BA2BE2AB29DB62CA0932C4A8143608EC42A58E77qD6AH" TargetMode="External"/><Relationship Id="rId7" Type="http://schemas.openxmlformats.org/officeDocument/2006/relationships/hyperlink" Target="consultantplus://offline/ref=442CA52DDCFD650B4622D896392016D2A9A50C53A6B022E2AB29DB62CA0932C4A8143608EC44ACq86DH" TargetMode="External"/><Relationship Id="rId12" Type="http://schemas.openxmlformats.org/officeDocument/2006/relationships/hyperlink" Target="consultantplus://offline/ref=442CA52DDCFD650B4622D896392016D2A9A5075CA8BA24E2AB29DB62CA0932C4A8143608EC42A58D70qD69H" TargetMode="External"/><Relationship Id="rId17" Type="http://schemas.openxmlformats.org/officeDocument/2006/relationships/hyperlink" Target="consultantplus://offline/ref=442CA52DDCFD650B4622D896392016D2A9A50C57A7BA2BE2AB29DB62CA0932C4A8143608EC41A0q868H" TargetMode="External"/><Relationship Id="rId25" Type="http://schemas.openxmlformats.org/officeDocument/2006/relationships/hyperlink" Target="consultantplus://offline/ref=442CA52DDCFD650B4622D896392016D2A9A50C53A6B022E2AB29DB62CA0932C4A8143608EC42A6887BqD6C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42CA52DDCFD650B4622CD8A3B484381A5A0055DAEB128BFA121826EC8q06EH" TargetMode="External"/><Relationship Id="rId20" Type="http://schemas.openxmlformats.org/officeDocument/2006/relationships/hyperlink" Target="consultantplus://offline/ref=442CA52DDCFD650B4622D896392016D2A9A50C53AEB127E2AB29DB62CA0932C4A8143608EC42A58D73qD6CH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2CA52DDCFD650B4622D896392016D2A9A50C53A6B022E2AB29DB62CA0932C4A8143608EC44A2q86BH" TargetMode="External"/><Relationship Id="rId11" Type="http://schemas.openxmlformats.org/officeDocument/2006/relationships/hyperlink" Target="consultantplus://offline/ref=442CA52DDCFD650B4622D896392016D2A9A5075CA8BA24E2AB29DB62CA0932C4A8143608EC42A58D73qD68H" TargetMode="External"/><Relationship Id="rId24" Type="http://schemas.openxmlformats.org/officeDocument/2006/relationships/hyperlink" Target="consultantplus://offline/ref=442CA52DDCFD650B4622D896392016D2A9A50356ABBF24E2AB29DB62CA0932C4A8143608EC42A58571qD69H" TargetMode="External"/><Relationship Id="rId5" Type="http://schemas.openxmlformats.org/officeDocument/2006/relationships/hyperlink" Target="consultantplus://offline/ref=442CA52DDCFD650B4622D896392016D2A9A50C53A6B022E2AB29DB62CA0932C4A8143608EC42A68875qD6EH" TargetMode="External"/><Relationship Id="rId15" Type="http://schemas.openxmlformats.org/officeDocument/2006/relationships/hyperlink" Target="consultantplus://offline/ref=442CA52DDCFD650B4622D896392016D2A9A5075CA8BA24E2AB29DB62CA0932C4A8143608EC42A58D73qD68H" TargetMode="External"/><Relationship Id="rId23" Type="http://schemas.openxmlformats.org/officeDocument/2006/relationships/hyperlink" Target="consultantplus://offline/ref=442CA52DDCFD650B4622D896392016D2A9A50C56AEBF2AE2AB29DB62CA0932C4A8143608EC42A58C73qD6AH" TargetMode="External"/><Relationship Id="rId28" Type="http://schemas.openxmlformats.org/officeDocument/2006/relationships/hyperlink" Target="consultantplus://offline/ref=442CA52DDCFD650B4622D896392016D2A9A50C53A6B022E2AB29DB62CA0932C4A8143608EC42A68B70qD69H" TargetMode="External"/><Relationship Id="rId10" Type="http://schemas.openxmlformats.org/officeDocument/2006/relationships/hyperlink" Target="consultantplus://offline/ref=442CA52DDCFD650B4622CD8A3B484381A5A40052A9BD28BFA121826EC8q06EH" TargetMode="External"/><Relationship Id="rId19" Type="http://schemas.openxmlformats.org/officeDocument/2006/relationships/hyperlink" Target="consultantplus://offline/ref=442CA52DDCFD650B4622D896392016D2A9A50C53A6B022E2AB29DB62CA0932C4A8143608EC42A68875qD6E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42CA52DDCFD650B4622CD8A3B484381A5A40255A9B828BFA121826EC8q06EH" TargetMode="External"/><Relationship Id="rId14" Type="http://schemas.openxmlformats.org/officeDocument/2006/relationships/hyperlink" Target="consultantplus://offline/ref=442CA52DDCFD650B4622D896392016D2A9A50252ABBF26E2AB29DB62CA0932C4A8143608EC42A58F7AqD6FH" TargetMode="External"/><Relationship Id="rId22" Type="http://schemas.openxmlformats.org/officeDocument/2006/relationships/hyperlink" Target="consultantplus://offline/ref=442CA52DDCFD650B4622D896392016D2A9A50C56AEBF2AE2AB29DB62CA0932C4A8143608EC42A58D71qD68H" TargetMode="External"/><Relationship Id="rId27" Type="http://schemas.openxmlformats.org/officeDocument/2006/relationships/hyperlink" Target="consultantplus://offline/ref=442CA52DDCFD650B4622D896392016D2A9A50C53A6B022E2AB29DB62CA0932C4A8143608EC42A48574qD64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1801</Words>
  <Characters>10268</Characters>
  <Application>Microsoft Office Word</Application>
  <DocSecurity>0</DocSecurity>
  <Lines>85</Lines>
  <Paragraphs>24</Paragraphs>
  <ScaleCrop>false</ScaleCrop>
  <Company/>
  <LinksUpToDate>false</LinksUpToDate>
  <CharactersWithSpaces>12045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2016-04-05T07:58:00Z</dcterms:created>
  <dcterms:modified xsi:type="dcterms:W3CDTF">2016-04-05T07:59:00Z</dcterms:modified>
</cp:coreProperties>
</file>