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DC4" w:rsidRPr="00191DC4" w:rsidRDefault="00191DC4" w:rsidP="00191DC4">
      <w:pPr>
        <w:spacing w:after="0" w:line="660" w:lineRule="atLeast"/>
        <w:textAlignment w:val="baseline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60"/>
          <w:szCs w:val="60"/>
          <w:lang w:eastAsia="ru-RU"/>
        </w:rPr>
      </w:pPr>
      <w:r w:rsidRPr="00191DC4">
        <w:rPr>
          <w:rFonts w:ascii="Georgia" w:eastAsia="Times New Roman" w:hAnsi="Georgia" w:cs="Times New Roman"/>
          <w:b/>
          <w:bCs/>
          <w:color w:val="000000"/>
          <w:kern w:val="36"/>
          <w:sz w:val="60"/>
          <w:szCs w:val="60"/>
          <w:lang w:eastAsia="ru-RU"/>
        </w:rPr>
        <w:t>Изменилась безопасная доля вычетов по НДС в вашем регионе</w:t>
      </w:r>
    </w:p>
    <w:p w:rsidR="00191DC4" w:rsidRPr="00191DC4" w:rsidRDefault="00191DC4" w:rsidP="00191DC4">
      <w:pPr>
        <w:spacing w:line="450" w:lineRule="atLeast"/>
        <w:textAlignment w:val="baseline"/>
        <w:rPr>
          <w:rFonts w:ascii="Georgia" w:eastAsia="Times New Roman" w:hAnsi="Georgia" w:cs="Times New Roman"/>
          <w:i/>
          <w:iCs/>
          <w:color w:val="000000"/>
          <w:sz w:val="30"/>
          <w:szCs w:val="30"/>
          <w:lang w:eastAsia="ru-RU"/>
        </w:rPr>
      </w:pPr>
      <w:r w:rsidRPr="00191DC4">
        <w:rPr>
          <w:rFonts w:ascii="inherit" w:eastAsia="Times New Roman" w:hAnsi="inherit" w:cs="Times New Roman"/>
          <w:b/>
          <w:bCs/>
          <w:color w:val="ED1B23"/>
          <w:sz w:val="30"/>
          <w:szCs w:val="30"/>
          <w:bdr w:val="none" w:sz="0" w:space="0" w:color="auto" w:frame="1"/>
          <w:lang w:eastAsia="ru-RU"/>
        </w:rPr>
        <w:t>Главное изменение:</w:t>
      </w:r>
      <w:r w:rsidRPr="00191DC4">
        <w:rPr>
          <w:rFonts w:ascii="Georgia" w:eastAsia="Times New Roman" w:hAnsi="Georgia" w:cs="Times New Roman"/>
          <w:i/>
          <w:iCs/>
          <w:color w:val="000000"/>
          <w:sz w:val="30"/>
          <w:lang w:eastAsia="ru-RU"/>
        </w:rPr>
        <w:t> </w:t>
      </w:r>
      <w:r w:rsidRPr="00191DC4">
        <w:rPr>
          <w:rFonts w:ascii="Georgia" w:eastAsia="Times New Roman" w:hAnsi="Georgia" w:cs="Times New Roman"/>
          <w:i/>
          <w:iCs/>
          <w:color w:val="000000"/>
          <w:sz w:val="30"/>
          <w:szCs w:val="30"/>
          <w:lang w:eastAsia="ru-RU"/>
        </w:rPr>
        <w:t>в большинстве регионов средняя доля вычетов на III</w:t>
      </w:r>
      <w:r w:rsidRPr="00191DC4">
        <w:rPr>
          <w:rFonts w:ascii="Georgia" w:eastAsia="Times New Roman" w:hAnsi="Georgia" w:cs="Times New Roman"/>
          <w:i/>
          <w:iCs/>
          <w:color w:val="000000"/>
          <w:sz w:val="30"/>
          <w:lang w:eastAsia="ru-RU"/>
        </w:rPr>
        <w:t> </w:t>
      </w:r>
      <w:r w:rsidRPr="00191DC4">
        <w:rPr>
          <w:rFonts w:ascii="Georgia" w:eastAsia="Times New Roman" w:hAnsi="Georgia" w:cs="Times New Roman"/>
          <w:i/>
          <w:iCs/>
          <w:color w:val="000000"/>
          <w:sz w:val="30"/>
          <w:szCs w:val="30"/>
          <w:lang w:eastAsia="ru-RU"/>
        </w:rPr>
        <w:t>квартал 2016 года стала ниже, чем во II</w:t>
      </w:r>
      <w:r w:rsidRPr="00191DC4">
        <w:rPr>
          <w:rFonts w:ascii="Georgia" w:eastAsia="Times New Roman" w:hAnsi="Georgia" w:cs="Times New Roman"/>
          <w:i/>
          <w:iCs/>
          <w:color w:val="000000"/>
          <w:sz w:val="30"/>
          <w:lang w:eastAsia="ru-RU"/>
        </w:rPr>
        <w:t> </w:t>
      </w:r>
      <w:r w:rsidRPr="00191DC4">
        <w:rPr>
          <w:rFonts w:ascii="Georgia" w:eastAsia="Times New Roman" w:hAnsi="Georgia" w:cs="Times New Roman"/>
          <w:i/>
          <w:iCs/>
          <w:color w:val="000000"/>
          <w:sz w:val="30"/>
          <w:szCs w:val="30"/>
          <w:lang w:eastAsia="ru-RU"/>
        </w:rPr>
        <w:t>квартале.</w:t>
      </w:r>
    </w:p>
    <w:p w:rsidR="00191DC4" w:rsidRPr="00191DC4" w:rsidRDefault="00191DC4" w:rsidP="00191DC4">
      <w:pPr>
        <w:spacing w:after="0" w:line="420" w:lineRule="atLeast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191DC4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Новая средняя безопасная доля вычетов по НДС в целом по России уменьшилась на 0,2 процента по сравнению со II кварталом — с 88,6 до 88,4 процента. В вашем регионе показатель может быть иным. Посмотрите его в </w:t>
      </w:r>
      <w:hyperlink r:id="rId4" w:anchor="tabl" w:history="1">
        <w:r w:rsidRPr="00191DC4">
          <w:rPr>
            <w:rFonts w:ascii="inherit" w:eastAsia="Times New Roman" w:hAnsi="inherit" w:cs="Times New Roman"/>
            <w:color w:val="1252A1"/>
            <w:sz w:val="27"/>
            <w:u w:val="single"/>
            <w:lang w:eastAsia="ru-RU"/>
          </w:rPr>
          <w:t>таблице</w:t>
        </w:r>
      </w:hyperlink>
      <w:r w:rsidRPr="00191DC4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.</w:t>
      </w:r>
    </w:p>
    <w:p w:rsidR="00191DC4" w:rsidRPr="00191DC4" w:rsidRDefault="00191DC4" w:rsidP="00191DC4">
      <w:pPr>
        <w:spacing w:after="240" w:line="420" w:lineRule="atLeast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191DC4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Сверьтесь с обновленными показателями, перед тем как сдавать декларацию по НДС за III квартал.</w:t>
      </w:r>
    </w:p>
    <w:p w:rsidR="00191DC4" w:rsidRPr="00191DC4" w:rsidRDefault="00191DC4" w:rsidP="00191DC4">
      <w:pPr>
        <w:spacing w:after="0" w:line="420" w:lineRule="atLeast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191DC4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Как компании посчитать свою долю вычетов.</w:t>
      </w:r>
      <w:r w:rsidRPr="00191DC4">
        <w:rPr>
          <w:rFonts w:ascii="inherit" w:eastAsia="Times New Roman" w:hAnsi="inherit" w:cs="Times New Roman"/>
          <w:color w:val="000000"/>
          <w:sz w:val="27"/>
          <w:lang w:eastAsia="ru-RU"/>
        </w:rPr>
        <w:t> </w:t>
      </w:r>
      <w:r w:rsidRPr="00191DC4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Воспользуйтесь методом налоговиков. Поделите все вычеты за квартал на весь начисленный НДС по декларации. Результат переведите в проценты и сравните с региональным значением (</w:t>
      </w:r>
      <w:hyperlink r:id="rId5" w:anchor="ZAP2BEG3HM" w:tgtFrame="_blank" w:history="1">
        <w:r w:rsidRPr="00191DC4">
          <w:rPr>
            <w:rFonts w:ascii="inherit" w:eastAsia="Times New Roman" w:hAnsi="inherit" w:cs="Times New Roman"/>
            <w:color w:val="0000FF"/>
            <w:sz w:val="27"/>
            <w:u w:val="single"/>
            <w:lang w:eastAsia="ru-RU"/>
          </w:rPr>
          <w:t>приложение 4 к письму ФНС России от 17 июля 2013 г. № АС-4-2/12722</w:t>
        </w:r>
      </w:hyperlink>
      <w:r w:rsidRPr="00191DC4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).</w:t>
      </w:r>
    </w:p>
    <w:p w:rsidR="00191DC4" w:rsidRPr="00191DC4" w:rsidRDefault="00191DC4" w:rsidP="00191DC4">
      <w:pPr>
        <w:spacing w:after="0" w:line="360" w:lineRule="atLeast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91DC4">
        <w:rPr>
          <w:rFonts w:ascii="inherit" w:eastAsia="Times New Roman" w:hAnsi="inherit" w:cs="Arial"/>
          <w:b/>
          <w:bCs/>
          <w:color w:val="ED1B23"/>
          <w:sz w:val="24"/>
          <w:lang w:eastAsia="ru-RU"/>
        </w:rPr>
        <w:t>Пример.</w:t>
      </w:r>
      <w:r w:rsidRPr="00191DC4">
        <w:rPr>
          <w:rFonts w:ascii="Arial" w:eastAsia="Times New Roman" w:hAnsi="Arial" w:cs="Arial"/>
          <w:b/>
          <w:bCs/>
          <w:color w:val="000000"/>
          <w:sz w:val="24"/>
          <w:lang w:eastAsia="ru-RU"/>
        </w:rPr>
        <w:t> </w:t>
      </w:r>
      <w:r w:rsidRPr="00191DC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Как определить долю вычетов за </w:t>
      </w:r>
      <w:r w:rsidRPr="00191DC4">
        <w:rPr>
          <w:rFonts w:ascii="inherit" w:eastAsia="Times New Roman" w:hAnsi="inherit" w:cs="Arial"/>
          <w:b/>
          <w:bCs/>
          <w:caps/>
          <w:color w:val="000000"/>
          <w:spacing w:val="10"/>
          <w:sz w:val="20"/>
          <w:lang w:eastAsia="ru-RU"/>
        </w:rPr>
        <w:t>III</w:t>
      </w:r>
      <w:r w:rsidRPr="00191DC4">
        <w:rPr>
          <w:rFonts w:ascii="Arial" w:eastAsia="Times New Roman" w:hAnsi="Arial" w:cs="Arial"/>
          <w:b/>
          <w:bCs/>
          <w:color w:val="000000"/>
          <w:sz w:val="24"/>
          <w:lang w:eastAsia="ru-RU"/>
        </w:rPr>
        <w:t> </w:t>
      </w:r>
      <w:r w:rsidRPr="00191DC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квартал 2016 года</w:t>
      </w:r>
    </w:p>
    <w:p w:rsidR="00191DC4" w:rsidRPr="00191DC4" w:rsidRDefault="00191DC4" w:rsidP="00191DC4">
      <w:pPr>
        <w:spacing w:after="6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1DC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ООО «Радуга» зарегистрировано в Санкт-Петербурге. В III квартале 2016 года общая сумма начисленного НДС компании составила 1 564 789 руб., а сумма вычетов — 865 324 руб. По расчетам бухгалтера, доля вычетов по НДС за III квартал составила 55,3 процента (865 324 ₽</w:t>
      </w:r>
      <w:proofErr w:type="gramStart"/>
      <w:r w:rsidRPr="00191DC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:</w:t>
      </w:r>
      <w:proofErr w:type="gramEnd"/>
      <w:r w:rsidRPr="00191DC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1 564 789 ₽ × 100%). Этот показатель ниже среднего по региону (55,3 &lt; 91,8). Значит, на проверке у налоговиков не возникнет претензий к вычетам компании.</w:t>
      </w:r>
    </w:p>
    <w:p w:rsidR="00191DC4" w:rsidRPr="00191DC4" w:rsidRDefault="00191DC4" w:rsidP="00191DC4">
      <w:pPr>
        <w:spacing w:after="0" w:line="420" w:lineRule="atLeast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191DC4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Чем опасно превышение безопасной доли вычетов.</w:t>
      </w:r>
      <w:r w:rsidRPr="00191DC4">
        <w:rPr>
          <w:rFonts w:ascii="inherit" w:eastAsia="Times New Roman" w:hAnsi="inherit" w:cs="Times New Roman"/>
          <w:color w:val="000000"/>
          <w:sz w:val="27"/>
          <w:lang w:eastAsia="ru-RU"/>
        </w:rPr>
        <w:t> </w:t>
      </w:r>
      <w:r w:rsidRPr="00191DC4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Само по себе такое превышение не повод для доначислений по НДС, пеней и штрафа. Но если выйти за средний показатель, у компании могут запросить пояснения или вызвать на комиссию. Если аргументы компании не устроят инспекторов, есть риск выездной проверки.</w:t>
      </w:r>
    </w:p>
    <w:p w:rsidR="00191DC4" w:rsidRPr="00191DC4" w:rsidRDefault="00191DC4" w:rsidP="00191DC4">
      <w:pPr>
        <w:spacing w:after="240" w:line="420" w:lineRule="atLeast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191DC4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Пояснить высокую долю вычетов можно так. Например, в течение квартала компания приобретала дорогостоящие основные средства или оплачивала расходы на ремонт оборудования. Или, допустим, у организации закупки большие, а объем продаж снизился. Это тоже приводит к росту доли вычетов.</w:t>
      </w:r>
    </w:p>
    <w:p w:rsidR="00191DC4" w:rsidRPr="00191DC4" w:rsidRDefault="00191DC4" w:rsidP="00191DC4">
      <w:pPr>
        <w:spacing w:after="0" w:line="420" w:lineRule="atLeast"/>
        <w:textAlignment w:val="baseline"/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</w:pPr>
      <w:r w:rsidRPr="00191DC4">
        <w:rPr>
          <w:rFonts w:ascii="inherit" w:eastAsia="Times New Roman" w:hAnsi="inherit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lastRenderedPageBreak/>
        <w:t>Как снизить долю вычетов.</w:t>
      </w:r>
      <w:r w:rsidRPr="00191DC4">
        <w:rPr>
          <w:rFonts w:ascii="inherit" w:eastAsia="Times New Roman" w:hAnsi="inherit" w:cs="Times New Roman"/>
          <w:b/>
          <w:bCs/>
          <w:color w:val="000000"/>
          <w:sz w:val="27"/>
          <w:lang w:eastAsia="ru-RU"/>
        </w:rPr>
        <w:t> </w:t>
      </w:r>
      <w:r w:rsidRPr="00191DC4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Если заметили, что не укладываетесь в безопасные значения, стоит убрать из декларации некоторые вычеты. Налоговый кодекс позволяет переносить вычеты на более поздние периоды в течение трех лет. Также можно исключить из отчета рискованные суммы. Например, вычеты с авансов, условия о которых нет в договорах с контрагентами. Или суммы из счетов-фактур с дефектами</w:t>
      </w:r>
      <w:r w:rsidRPr="00191DC4">
        <w:rPr>
          <w:rFonts w:ascii="inherit" w:eastAsia="Times New Roman" w:hAnsi="inherit" w:cs="Times New Roman"/>
          <w:color w:val="000000"/>
          <w:sz w:val="27"/>
          <w:lang w:eastAsia="ru-RU"/>
        </w:rPr>
        <w:t> </w:t>
      </w:r>
      <w:hyperlink r:id="rId6" w:anchor="ZA01MIU38L" w:tgtFrame="_blank" w:history="1">
        <w:r w:rsidRPr="00191DC4">
          <w:rPr>
            <w:rFonts w:ascii="inherit" w:eastAsia="Times New Roman" w:hAnsi="inherit" w:cs="Times New Roman"/>
            <w:color w:val="0000FF"/>
            <w:sz w:val="27"/>
            <w:u w:val="single"/>
            <w:lang w:eastAsia="ru-RU"/>
          </w:rPr>
          <w:t>(п. 2 ст. 169 НК РФ</w:t>
        </w:r>
      </w:hyperlink>
      <w:r w:rsidRPr="00191DC4">
        <w:rPr>
          <w:rFonts w:ascii="inherit" w:eastAsia="Times New Roman" w:hAnsi="inherit" w:cs="Times New Roman"/>
          <w:color w:val="000000"/>
          <w:sz w:val="27"/>
          <w:szCs w:val="27"/>
          <w:lang w:eastAsia="ru-RU"/>
        </w:rPr>
        <w:t>). К этим вычетам налоговики придираются чаще всего.</w:t>
      </w:r>
    </w:p>
    <w:p w:rsidR="00191DC4" w:rsidRPr="00191DC4" w:rsidRDefault="00191DC4" w:rsidP="00191DC4">
      <w:pPr>
        <w:spacing w:line="420" w:lineRule="atLeast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0" w:name="tabl"/>
      <w:bookmarkEnd w:id="0"/>
      <w:r w:rsidRPr="00191DC4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Источник:</w:t>
      </w:r>
      <w:r w:rsidRPr="00191DC4">
        <w:rPr>
          <w:rFonts w:ascii="inherit" w:eastAsia="Times New Roman" w:hAnsi="inherit" w:cs="Arial"/>
          <w:b/>
          <w:bCs/>
          <w:color w:val="000000"/>
          <w:lang w:eastAsia="ru-RU"/>
        </w:rPr>
        <w:t> </w:t>
      </w:r>
      <w:proofErr w:type="spellStart"/>
      <w:r w:rsidRPr="00191DC4">
        <w:rPr>
          <w:rFonts w:ascii="Arial" w:eastAsia="Times New Roman" w:hAnsi="Arial" w:cs="Arial"/>
          <w:color w:val="000000"/>
          <w:lang w:eastAsia="ru-RU"/>
        </w:rPr>
        <w:t>nalog.ru</w:t>
      </w:r>
      <w:proofErr w:type="spellEnd"/>
      <w:r w:rsidRPr="00191DC4">
        <w:rPr>
          <w:rFonts w:ascii="Arial" w:eastAsia="Times New Roman" w:hAnsi="Arial" w:cs="Arial"/>
          <w:color w:val="000000"/>
          <w:lang w:eastAsia="ru-RU"/>
        </w:rPr>
        <w:t> &gt; «Иные функции </w:t>
      </w:r>
      <w:r w:rsidRPr="00191DC4">
        <w:rPr>
          <w:rFonts w:ascii="inherit" w:eastAsia="Times New Roman" w:hAnsi="inherit" w:cs="Arial"/>
          <w:caps/>
          <w:color w:val="000000"/>
          <w:spacing w:val="10"/>
          <w:sz w:val="19"/>
          <w:lang w:eastAsia="ru-RU"/>
        </w:rPr>
        <w:t>ФНС</w:t>
      </w:r>
      <w:r w:rsidRPr="00191DC4">
        <w:rPr>
          <w:rFonts w:ascii="Arial" w:eastAsia="Times New Roman" w:hAnsi="Arial" w:cs="Arial"/>
          <w:color w:val="000000"/>
          <w:lang w:eastAsia="ru-RU"/>
        </w:rPr>
        <w:t> России» &gt; «Статистика и аналитика»</w:t>
      </w:r>
    </w:p>
    <w:p w:rsidR="00191DC4" w:rsidRPr="00191DC4" w:rsidRDefault="00191DC4" w:rsidP="00191DC4">
      <w:pPr>
        <w:spacing w:after="0" w:line="288" w:lineRule="atLeast"/>
        <w:textAlignment w:val="baseline"/>
        <w:outlineLvl w:val="5"/>
        <w:rPr>
          <w:rFonts w:ascii="Arial" w:eastAsia="Times New Roman" w:hAnsi="Arial" w:cs="Arial"/>
          <w:b/>
          <w:bCs/>
          <w:color w:val="000000"/>
          <w:sz w:val="34"/>
          <w:szCs w:val="34"/>
          <w:lang w:eastAsia="ru-RU"/>
        </w:rPr>
      </w:pPr>
      <w:r w:rsidRPr="00191DC4">
        <w:rPr>
          <w:rFonts w:ascii="Arial" w:eastAsia="Times New Roman" w:hAnsi="Arial" w:cs="Arial"/>
          <w:b/>
          <w:bCs/>
          <w:color w:val="000000"/>
          <w:sz w:val="34"/>
          <w:szCs w:val="34"/>
          <w:lang w:eastAsia="ru-RU"/>
        </w:rPr>
        <w:t>Как изменилась безопасная доля вычетов в </w:t>
      </w:r>
      <w:r w:rsidRPr="00191DC4">
        <w:rPr>
          <w:rFonts w:ascii="inherit" w:eastAsia="Times New Roman" w:hAnsi="inherit" w:cs="Arial"/>
          <w:b/>
          <w:bCs/>
          <w:caps/>
          <w:color w:val="000000"/>
          <w:spacing w:val="10"/>
          <w:sz w:val="29"/>
          <w:lang w:eastAsia="ru-RU"/>
        </w:rPr>
        <w:t>III</w:t>
      </w:r>
      <w:r w:rsidRPr="00191DC4">
        <w:rPr>
          <w:rFonts w:ascii="Arial" w:eastAsia="Times New Roman" w:hAnsi="Arial" w:cs="Arial"/>
          <w:b/>
          <w:bCs/>
          <w:color w:val="000000"/>
          <w:sz w:val="34"/>
          <w:lang w:eastAsia="ru-RU"/>
        </w:rPr>
        <w:t> </w:t>
      </w:r>
      <w:r w:rsidRPr="00191DC4">
        <w:rPr>
          <w:rFonts w:ascii="Arial" w:eastAsia="Times New Roman" w:hAnsi="Arial" w:cs="Arial"/>
          <w:b/>
          <w:bCs/>
          <w:color w:val="000000"/>
          <w:sz w:val="34"/>
          <w:szCs w:val="34"/>
          <w:lang w:eastAsia="ru-RU"/>
        </w:rPr>
        <w:t>квартале 2016 года</w:t>
      </w:r>
    </w:p>
    <w:tbl>
      <w:tblPr>
        <w:tblW w:w="11070" w:type="dxa"/>
        <w:tblCellMar>
          <w:left w:w="0" w:type="dxa"/>
          <w:right w:w="0" w:type="dxa"/>
        </w:tblCellMar>
        <w:tblLook w:val="04A0"/>
      </w:tblPr>
      <w:tblGrid>
        <w:gridCol w:w="6071"/>
        <w:gridCol w:w="2541"/>
        <w:gridCol w:w="2458"/>
      </w:tblGrid>
      <w:tr w:rsidR="00191DC4" w:rsidRPr="00191DC4" w:rsidTr="00191DC4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vAlign w:val="bottom"/>
            <w:hideMark/>
          </w:tcPr>
          <w:p w:rsidR="00191DC4" w:rsidRPr="00191DC4" w:rsidRDefault="00191DC4" w:rsidP="00191DC4">
            <w:pPr>
              <w:spacing w:after="0" w:line="315" w:lineRule="atLeast"/>
              <w:rPr>
                <w:rFonts w:ascii="Arial" w:eastAsia="Times New Roman" w:hAnsi="Arial" w:cs="Arial"/>
                <w:b/>
                <w:bCs/>
                <w:color w:val="ED1B23"/>
                <w:sz w:val="27"/>
                <w:szCs w:val="27"/>
                <w:lang w:eastAsia="ru-RU"/>
              </w:rPr>
            </w:pPr>
            <w:r w:rsidRPr="00191DC4">
              <w:rPr>
                <w:rFonts w:ascii="Arial" w:eastAsia="Times New Roman" w:hAnsi="Arial" w:cs="Arial"/>
                <w:b/>
                <w:bCs/>
                <w:color w:val="ED1B23"/>
                <w:sz w:val="27"/>
                <w:szCs w:val="27"/>
                <w:lang w:eastAsia="ru-RU"/>
              </w:rPr>
              <w:t>Субъект РФ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vAlign w:val="bottom"/>
            <w:hideMark/>
          </w:tcPr>
          <w:p w:rsidR="00191DC4" w:rsidRPr="00191DC4" w:rsidRDefault="00191DC4" w:rsidP="00191DC4">
            <w:pPr>
              <w:spacing w:after="0" w:line="315" w:lineRule="atLeast"/>
              <w:rPr>
                <w:rFonts w:ascii="Arial" w:eastAsia="Times New Roman" w:hAnsi="Arial" w:cs="Arial"/>
                <w:b/>
                <w:bCs/>
                <w:color w:val="ED1B23"/>
                <w:sz w:val="27"/>
                <w:szCs w:val="27"/>
                <w:lang w:eastAsia="ru-RU"/>
              </w:rPr>
            </w:pPr>
            <w:r w:rsidRPr="00191DC4">
              <w:rPr>
                <w:rFonts w:ascii="Arial" w:eastAsia="Times New Roman" w:hAnsi="Arial" w:cs="Arial"/>
                <w:b/>
                <w:bCs/>
                <w:color w:val="ED1B23"/>
                <w:sz w:val="27"/>
                <w:szCs w:val="27"/>
                <w:lang w:eastAsia="ru-RU"/>
              </w:rPr>
              <w:t>III квартал, 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vAlign w:val="bottom"/>
            <w:hideMark/>
          </w:tcPr>
          <w:p w:rsidR="00191DC4" w:rsidRPr="00191DC4" w:rsidRDefault="00191DC4" w:rsidP="00191DC4">
            <w:pPr>
              <w:spacing w:after="0" w:line="315" w:lineRule="atLeast"/>
              <w:rPr>
                <w:rFonts w:ascii="Arial" w:eastAsia="Times New Roman" w:hAnsi="Arial" w:cs="Arial"/>
                <w:b/>
                <w:bCs/>
                <w:color w:val="ED1B23"/>
                <w:sz w:val="27"/>
                <w:szCs w:val="27"/>
                <w:lang w:eastAsia="ru-RU"/>
              </w:rPr>
            </w:pPr>
            <w:r w:rsidRPr="00191DC4">
              <w:rPr>
                <w:rFonts w:ascii="Arial" w:eastAsia="Times New Roman" w:hAnsi="Arial" w:cs="Arial"/>
                <w:b/>
                <w:bCs/>
                <w:color w:val="ED1B23"/>
                <w:sz w:val="27"/>
                <w:szCs w:val="27"/>
                <w:lang w:eastAsia="ru-RU"/>
              </w:rPr>
              <w:t>II квартал, %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Алтайский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" name="Рисунок 1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89,3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Амурская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100,1 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" name="Рисунок 2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100,6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" name="Рисунок 3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87,3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Астраханская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74,8 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" name="Рисунок 4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73,5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Белгородская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" name="Рисунок 5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Брянская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82,1 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" name="Рисунок 6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Владимирская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7" name="Рисунок 7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84,1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Волгоградская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87,4 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8" name="Рисунок 8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Вологодская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87,5 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9" name="Рисунок 9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88,2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Воронежская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95,3 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0" name="Рисунок 10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95,5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Город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89,7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Город Санкт-Петербург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91,8 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1" name="Рисунок 11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Город Севастополь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87,8 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2" name="Рисунок 12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87,4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Еврейская автономная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94,3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94,3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Забайкальский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97,7 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3" name="Рисунок 13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98,5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93,4 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4" name="Рисунок 14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93,8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Иркутская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83,4 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5" name="Рисунок 15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lastRenderedPageBreak/>
              <w:t>Кабардино-Балкарская Республика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89,8 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6" name="Рисунок 16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94,5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Калининградская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68,2 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7" name="Рисунок 17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67,5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Калужская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8" name="Рисунок 18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89,4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79,8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Карачаево-Черкесская Республика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92,4 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19" name="Рисунок 19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Кемеровская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85,8 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0" name="Рисунок 20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86,4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Кировская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86,3 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1" name="Рисунок 21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87,0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Костромская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2" name="Рисунок 22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Краснодарский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88,9 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3" name="Рисунок 23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89,4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Красноярский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79,3 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4" name="Рисунок 24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80,1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Курганская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82,5 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5" name="Рисунок 25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82,9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Курская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90,4 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6" name="Рисунок 26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Ленинградская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82,4 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7" name="Рисунок 27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81,9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Липецкая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90,5 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8" name="Рисунок 28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Магаданская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82,0 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29" name="Рисунок 29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79,5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Московская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90,3 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0" name="Рисунок 30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Мурманская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75,9 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1" name="Рисунок 31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76,6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Ненецкий автономный округ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122,8 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2" name="Рисунок 32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131,9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Нижегородская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88,7 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3" name="Рисунок 33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88,9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Новгородская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86,7 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4" name="Рисунок 34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87,7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Новосибирская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90,3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Омская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5" name="Рисунок 35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Оренбургская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76,6 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6" name="Рисунок 36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78,9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Орловская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91,3 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7" name="Рисунок 37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91,1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lastRenderedPageBreak/>
              <w:t>Пензенская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8" name="Рисунок 38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90,0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Пермский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39" name="Рисунок 39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Приморский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93,2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Псковская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95,2 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0" name="Рисунок 40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96,2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Адыгея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1" name="Рисунок 41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92,1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Алтай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92,8 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2" name="Рисунок 42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93,1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Башкортостан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86,6 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3" name="Рисунок 43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87,0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Бурятия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83,9 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4" name="Рисунок 44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84,1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85,6 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5" name="Рисунок 45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91,2 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6" name="Рисунок 46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92,7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Калмыкия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99,6 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7" name="Рисунок 47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108,4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Карелия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8" name="Рисунок 48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83,5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Коми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76,2 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49" name="Рисунок 49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76,6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Крым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84,2 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0" name="Рисунок 50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83,6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Марий Эл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88,8 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1" name="Рисунок 51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89,2 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2" name="Рисунок 52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90,1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Северная Осетия — Алания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87,7 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3" name="Рисунок 53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88,4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Татарстан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90,5 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4" name="Рисунок 54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Тыва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86,0 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5" name="Рисунок 55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87,9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Хакасия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90,1 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6" name="Рисунок 56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91,7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Республика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83,7 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7" name="Рисунок 57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81,2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Ростовская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90,2 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8" name="Рисунок 58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91,4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Рязанская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85,5 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59" name="Рисунок 59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86,2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Самарская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86,9 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0" name="Рисунок 60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lastRenderedPageBreak/>
              <w:t>Саратовская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87,7 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1" name="Рисунок 61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87,8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Сахалинская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98,3 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2" name="Рисунок 62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95,9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Свердловская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88,0 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3" name="Рисунок 63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87,9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Смоленская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91,7 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4" name="Рисунок 64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91,0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Ставропольский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92,9 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5" name="Рисунок 65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93,3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Тамбовская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95,1 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6" name="Рисунок 66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94,3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Тверская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7" name="Рисунок 67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89,9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Томская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83,6 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8" name="Рисунок 68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84,1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Тульская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91,2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Тюменская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91,3 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69" name="Рисунок 69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Удмуртская Республика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83,5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Ульяновская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91,5 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70" name="Рисунок 70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92,3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Хабаровский край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88,4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 xml:space="preserve">Ханты-Мансийский автономный округ — </w:t>
            </w:r>
            <w:proofErr w:type="spellStart"/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Югра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66,9 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71" name="Рисунок 71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68,5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Челябинская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87,5 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72" name="Рисунок 72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88,4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Чеченская Республика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101,0 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73" name="Рисунок 73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103,0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Чувашская Республика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83,6 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74" name="Рисунок 74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84,5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Чукотский автономный округ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83,0 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75" name="Рисунок 75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72,6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Ямало-Ненецкий автономный округ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76,5 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76" name="Рисунок 76" descr="http://e.profkiosk.ru/service_tbn2/eskiq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e.profkiosk.ru/service_tbn2/eskiq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77,3</w:t>
            </w:r>
          </w:p>
        </w:tc>
      </w:tr>
      <w:tr w:rsidR="00191DC4" w:rsidRPr="00191DC4" w:rsidTr="00191D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Ярославская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87,2 </w:t>
            </w:r>
            <w:r>
              <w:rPr>
                <w:rFonts w:ascii="inherit" w:eastAsia="Times New Roman" w:hAnsi="inherit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675" cy="133350"/>
                  <wp:effectExtent l="19050" t="0" r="9525" b="0"/>
                  <wp:docPr id="77" name="Рисунок 77" descr="http://e.profkiosk.ru/service_tbn2/eb36i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e.profkiosk.ru/service_tbn2/eb36i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105" w:type="dxa"/>
              <w:right w:w="525" w:type="dxa"/>
            </w:tcMar>
            <w:hideMark/>
          </w:tcPr>
          <w:p w:rsidR="00191DC4" w:rsidRPr="00191DC4" w:rsidRDefault="00191DC4" w:rsidP="00191DC4">
            <w:pPr>
              <w:spacing w:after="0" w:line="360" w:lineRule="atLeast"/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</w:pPr>
            <w:r w:rsidRPr="00191DC4">
              <w:rPr>
                <w:rFonts w:ascii="inherit" w:eastAsia="Times New Roman" w:hAnsi="inherit" w:cs="Arial"/>
                <w:sz w:val="24"/>
                <w:szCs w:val="24"/>
                <w:lang w:eastAsia="ru-RU"/>
              </w:rPr>
              <w:t>86,8</w:t>
            </w:r>
          </w:p>
        </w:tc>
      </w:tr>
    </w:tbl>
    <w:p w:rsidR="00877DD2" w:rsidRDefault="00877DD2"/>
    <w:sectPr w:rsidR="00877DD2" w:rsidSect="00191DC4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DC4"/>
    <w:rsid w:val="0001018C"/>
    <w:rsid w:val="00191DC4"/>
    <w:rsid w:val="00554E7E"/>
    <w:rsid w:val="00765F04"/>
    <w:rsid w:val="00877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D2"/>
  </w:style>
  <w:style w:type="paragraph" w:styleId="1">
    <w:name w:val="heading 1"/>
    <w:basedOn w:val="a"/>
    <w:link w:val="10"/>
    <w:uiPriority w:val="9"/>
    <w:qFormat/>
    <w:rsid w:val="00191D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91D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191DC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1D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91D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91DC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191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1DC4"/>
  </w:style>
  <w:style w:type="character" w:styleId="a4">
    <w:name w:val="Hyperlink"/>
    <w:basedOn w:val="a0"/>
    <w:uiPriority w:val="99"/>
    <w:semiHidden/>
    <w:unhideWhenUsed/>
    <w:rsid w:val="00191DC4"/>
    <w:rPr>
      <w:color w:val="0000FF"/>
      <w:u w:val="single"/>
    </w:rPr>
  </w:style>
  <w:style w:type="character" w:customStyle="1" w:styleId="red">
    <w:name w:val="red"/>
    <w:basedOn w:val="a0"/>
    <w:rsid w:val="00191DC4"/>
  </w:style>
  <w:style w:type="character" w:customStyle="1" w:styleId="capitel">
    <w:name w:val="capitel"/>
    <w:basedOn w:val="a0"/>
    <w:rsid w:val="00191DC4"/>
  </w:style>
  <w:style w:type="paragraph" w:styleId="a5">
    <w:name w:val="Balloon Text"/>
    <w:basedOn w:val="a"/>
    <w:link w:val="a6"/>
    <w:uiPriority w:val="99"/>
    <w:semiHidden/>
    <w:unhideWhenUsed/>
    <w:rsid w:val="0019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1D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6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80735">
          <w:marLeft w:val="0"/>
          <w:marRight w:val="0"/>
          <w:marTop w:val="0"/>
          <w:marBottom w:val="5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8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7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716767">
          <w:marLeft w:val="0"/>
          <w:marRight w:val="40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7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836696">
              <w:marLeft w:val="0"/>
              <w:marRight w:val="-390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.glavbukh.ru/npd-doc.aspx?npmid=99&amp;npid=901765862&amp;anchor=ZA01MIU38L" TargetMode="External"/><Relationship Id="rId5" Type="http://schemas.openxmlformats.org/officeDocument/2006/relationships/hyperlink" Target="http://e.glavbukh.ru/npd-doc.aspx?npmid=99&amp;npid=499036620&amp;anchor=ZAP2BEG3H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e.glavbukh.ru/articleannounce.aspx?aid=502769&amp;IdSL=1160204055&amp;IdBatch=2948809&amp;utm_medium=letter&amp;utm_source=lettersubscriber&amp;utm_campaign=lettersubscriber_2016.10.06_announsement%2006.10.2016_readers_4125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862</Words>
  <Characters>4919</Characters>
  <Application>Microsoft Office Word</Application>
  <DocSecurity>0</DocSecurity>
  <Lines>40</Lines>
  <Paragraphs>11</Paragraphs>
  <ScaleCrop>false</ScaleCrop>
  <Company>LeDimore</Company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1</cp:revision>
  <dcterms:created xsi:type="dcterms:W3CDTF">2016-10-06T11:43:00Z</dcterms:created>
  <dcterms:modified xsi:type="dcterms:W3CDTF">2016-10-06T11:45:00Z</dcterms:modified>
</cp:coreProperties>
</file>