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935" w:rsidRDefault="00687935" w:rsidP="00687935">
      <w:pPr>
        <w:pStyle w:val="a4"/>
        <w:spacing w:before="0" w:beforeAutospacing="0" w:after="0" w:afterAutospacing="0" w:line="360" w:lineRule="atLeast"/>
        <w:jc w:val="right"/>
        <w:textAlignment w:val="baseline"/>
        <w:rPr>
          <w:sz w:val="27"/>
          <w:szCs w:val="27"/>
        </w:rPr>
      </w:pPr>
    </w:p>
    <w:p w:rsidR="00687935" w:rsidRDefault="00687935" w:rsidP="00687935">
      <w:pPr>
        <w:pStyle w:val="a4"/>
        <w:spacing w:before="0" w:beforeAutospacing="0" w:after="0" w:afterAutospacing="0" w:line="360" w:lineRule="atLeast"/>
        <w:jc w:val="center"/>
        <w:textAlignment w:val="baseline"/>
        <w:rPr>
          <w:sz w:val="32"/>
          <w:szCs w:val="22"/>
        </w:rPr>
      </w:pPr>
      <w:r>
        <w:rPr>
          <w:b/>
          <w:bCs/>
          <w:sz w:val="32"/>
          <w:szCs w:val="22"/>
        </w:rPr>
        <w:t>Положение "Об учетной политике организации"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Руководствуясь нормами Гражданского</w:t>
      </w:r>
      <w:r>
        <w:rPr>
          <w:rStyle w:val="apple-converted-space"/>
          <w:iCs/>
          <w:szCs w:val="22"/>
        </w:rPr>
        <w:t> </w:t>
      </w:r>
      <w:hyperlink r:id="rId5" w:anchor="l0" w:tgtFrame="_blank" w:history="1">
        <w:r>
          <w:rPr>
            <w:rStyle w:val="a3"/>
            <w:iCs/>
            <w:szCs w:val="22"/>
          </w:rPr>
          <w:t>кодекса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Российской Федерации,</w:t>
      </w:r>
      <w:r>
        <w:rPr>
          <w:rStyle w:val="apple-converted-space"/>
          <w:iCs/>
          <w:szCs w:val="22"/>
        </w:rPr>
        <w:t> </w:t>
      </w:r>
      <w:hyperlink r:id="rId6" w:anchor="l226" w:tgtFrame="_blank" w:history="1">
        <w:r>
          <w:rPr>
            <w:rStyle w:val="a3"/>
            <w:iCs/>
            <w:szCs w:val="22"/>
          </w:rPr>
          <w:t>статьей 6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Закона N 402-ФЗ,</w:t>
      </w:r>
      <w:r>
        <w:rPr>
          <w:rStyle w:val="apple-converted-space"/>
          <w:iCs/>
          <w:szCs w:val="22"/>
        </w:rPr>
        <w:t> </w:t>
      </w:r>
      <w:hyperlink r:id="rId7" w:anchor="l300" w:tgtFrame="_blank" w:history="1">
        <w:r>
          <w:rPr>
            <w:rStyle w:val="a3"/>
            <w:iCs/>
            <w:szCs w:val="22"/>
          </w:rPr>
          <w:t>статьей 33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 xml:space="preserve">Федерального закона от 08.02.1998 г. N 14-ФЗ "Об обществах с ограниченной ответственностью" организация </w:t>
      </w:r>
      <w:r>
        <w:rPr>
          <w:b/>
          <w:iCs/>
          <w:szCs w:val="22"/>
        </w:rPr>
        <w:t>"</w:t>
      </w:r>
      <w:proofErr w:type="spellStart"/>
      <w:r>
        <w:rPr>
          <w:b/>
          <w:iCs/>
          <w:szCs w:val="22"/>
        </w:rPr>
        <w:t>БиоЭстетика</w:t>
      </w:r>
      <w:proofErr w:type="spellEnd"/>
      <w:r>
        <w:rPr>
          <w:b/>
          <w:iCs/>
          <w:szCs w:val="22"/>
        </w:rPr>
        <w:t>"</w:t>
      </w:r>
      <w:r>
        <w:rPr>
          <w:iCs/>
          <w:szCs w:val="22"/>
        </w:rPr>
        <w:t>, применяющая упрощенную систему налогообложения, ведет бухгалтерский учет в соответствии с Законом N 402-ФЗ.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На основании</w:t>
      </w:r>
      <w:r>
        <w:rPr>
          <w:rStyle w:val="apple-converted-space"/>
          <w:iCs/>
          <w:szCs w:val="22"/>
        </w:rPr>
        <w:t> </w:t>
      </w:r>
      <w:hyperlink r:id="rId8" w:anchor="l491" w:tgtFrame="_blank" w:history="1">
        <w:r>
          <w:rPr>
            <w:rStyle w:val="a3"/>
            <w:iCs/>
            <w:szCs w:val="22"/>
          </w:rPr>
          <w:t>статьи 4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Федерального закона от 24.07.2007 г. N 209-ФЗ "О развитии малого и среднего предпринимательства в Российской Федерации", организация признается субъектом малого предпринимательства. Бухгалтерская (финансовая) отчетность организации не подлежит обязательному аудиту.</w:t>
      </w:r>
      <w:bookmarkStart w:id="0" w:name="l1382"/>
      <w:bookmarkEnd w:id="0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 соответствии со</w:t>
      </w:r>
      <w:r>
        <w:rPr>
          <w:rStyle w:val="apple-converted-space"/>
          <w:iCs/>
          <w:szCs w:val="22"/>
        </w:rPr>
        <w:t> </w:t>
      </w:r>
      <w:hyperlink r:id="rId9" w:anchor="l226" w:tgtFrame="_blank" w:history="1">
        <w:r>
          <w:rPr>
            <w:rStyle w:val="a3"/>
            <w:iCs/>
            <w:szCs w:val="22"/>
          </w:rPr>
          <w:t>статьей 6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Закона N 402-ФЗ организация вправе применять упрощенные способы ведения бухгалтерского учета, включая упрощенную бухгалтерскую (финансовую) отчетность (далее - УСВБУ).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Согласно</w:t>
      </w:r>
      <w:r>
        <w:rPr>
          <w:rStyle w:val="apple-converted-space"/>
          <w:iCs/>
          <w:szCs w:val="22"/>
        </w:rPr>
        <w:t> </w:t>
      </w:r>
      <w:hyperlink r:id="rId10" w:anchor="l282" w:tgtFrame="_blank" w:history="1">
        <w:r>
          <w:rPr>
            <w:rStyle w:val="a3"/>
            <w:iCs/>
            <w:szCs w:val="22"/>
          </w:rPr>
          <w:t>пункту 6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Приказа Минфина России от 02.07.2010 г. N 66н "О формах бухгалтерской отчетности организаций", организация пользуется правом формирования бухгалтерской отчетности по упрощенной системе.</w:t>
      </w:r>
      <w:bookmarkStart w:id="1" w:name="l1383"/>
      <w:bookmarkEnd w:id="1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При формировании своей бухгалтерской отчетности организация соблюдает общие требования к бухгалтерской отчетности, изложенные в</w:t>
      </w:r>
      <w:r>
        <w:rPr>
          <w:rStyle w:val="apple-converted-space"/>
          <w:iCs/>
          <w:szCs w:val="22"/>
        </w:rPr>
        <w:t> </w:t>
      </w:r>
      <w:hyperlink r:id="rId11" w:anchor="l2" w:tgtFrame="_blank" w:history="1">
        <w:r>
          <w:rPr>
            <w:rStyle w:val="a3"/>
            <w:iCs/>
            <w:szCs w:val="22"/>
          </w:rPr>
          <w:t>Положении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по бухгалтерскому учету "Бухгалтерская отчетность организации" ПБУ 4/99, утвержденном Приказом Минфина России от 06.07.1999 г. N 43н.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Бухгалтерская отчетность формируется по формам, приведенным в</w:t>
      </w:r>
      <w:r>
        <w:rPr>
          <w:rStyle w:val="apple-converted-space"/>
          <w:iCs/>
          <w:szCs w:val="22"/>
        </w:rPr>
        <w:t> </w:t>
      </w:r>
      <w:hyperlink r:id="rId12" w:anchor="l268" w:tgtFrame="_blank" w:history="1">
        <w:r>
          <w:rPr>
            <w:rStyle w:val="a3"/>
            <w:iCs/>
            <w:szCs w:val="22"/>
          </w:rPr>
          <w:t>Приложении N 5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к Приказу N 66н.</w:t>
      </w:r>
    </w:p>
    <w:p w:rsidR="00687935" w:rsidRDefault="00687935" w:rsidP="00687935">
      <w:pPr>
        <w:pStyle w:val="a4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 ОРГАНИЗАЦИОННО-ТЕХНИЧЕСКИЙ РАЗДЕЛ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1.1. Отчетный период.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 xml:space="preserve">Отчетным периодом </w:t>
      </w:r>
      <w:proofErr w:type="gramStart"/>
      <w:r>
        <w:rPr>
          <w:iCs/>
          <w:szCs w:val="22"/>
        </w:rPr>
        <w:t>для</w:t>
      </w:r>
      <w:proofErr w:type="gramEnd"/>
      <w:r>
        <w:rPr>
          <w:iCs/>
          <w:szCs w:val="22"/>
        </w:rPr>
        <w:t xml:space="preserve"> </w:t>
      </w:r>
      <w:proofErr w:type="gramStart"/>
      <w:r>
        <w:rPr>
          <w:iCs/>
          <w:szCs w:val="22"/>
        </w:rPr>
        <w:t>годовой</w:t>
      </w:r>
      <w:proofErr w:type="gramEnd"/>
      <w:r>
        <w:rPr>
          <w:iCs/>
          <w:szCs w:val="22"/>
        </w:rPr>
        <w:t xml:space="preserve"> бухгалтерской (финансовой) является календарный год, под которым понимается период времени с 1 января по 31 декабря включительно.</w:t>
      </w:r>
      <w:bookmarkStart w:id="2" w:name="l1384"/>
      <w:bookmarkEnd w:id="2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1.2. Организация бухгалтерского учета.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 соответствии со</w:t>
      </w:r>
      <w:r>
        <w:rPr>
          <w:rStyle w:val="apple-converted-space"/>
          <w:iCs/>
          <w:szCs w:val="22"/>
        </w:rPr>
        <w:t> </w:t>
      </w:r>
      <w:hyperlink r:id="rId13" w:anchor="l230" w:tgtFrame="_blank" w:history="1">
        <w:r>
          <w:rPr>
            <w:rStyle w:val="a3"/>
            <w:iCs/>
            <w:szCs w:val="22"/>
          </w:rPr>
          <w:t>статьей 7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Закона N 402-ФЗ, ответственность за организацию ведения бухгалтерского учета и хранения бухгалтерской документации в компании несет ее руководитель.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Бухгалтерский учет в организации ведется штатным бухгалтером в одном лице.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1.3. Рабочий план счетов.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proofErr w:type="gramStart"/>
      <w:r>
        <w:rPr>
          <w:iCs/>
          <w:szCs w:val="22"/>
        </w:rPr>
        <w:t>Бухгалтерский учет в организации ведется методом двойной записи в соответствии с рабочим планом счетов, разработанным на основе типового</w:t>
      </w:r>
      <w:r>
        <w:rPr>
          <w:rStyle w:val="apple-converted-space"/>
          <w:iCs/>
          <w:szCs w:val="22"/>
        </w:rPr>
        <w:t> </w:t>
      </w:r>
      <w:hyperlink r:id="rId14" w:anchor="l1564" w:tgtFrame="_blank" w:history="1">
        <w:r>
          <w:rPr>
            <w:rStyle w:val="a3"/>
            <w:iCs/>
            <w:szCs w:val="22"/>
          </w:rPr>
          <w:t>Плана счетов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бухгалтерского учета, рекомендуемого организациям к использованию Приказом Минфина России от 31.10.2000 г. N 94н "Об утверждении Плана счетов бухгалтерского учета финансово-хозяйственной деятельности организаций и Инструкции по его применению" (далее - План счетов бухгалтерского учета).</w:t>
      </w:r>
      <w:bookmarkStart w:id="3" w:name="l1385"/>
      <w:bookmarkEnd w:id="3"/>
      <w:proofErr w:type="gramEnd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lastRenderedPageBreak/>
        <w:t xml:space="preserve">Рабочий план счетов с необходимым количеством уровней </w:t>
      </w:r>
      <w:proofErr w:type="spellStart"/>
      <w:r>
        <w:rPr>
          <w:iCs/>
          <w:szCs w:val="22"/>
        </w:rPr>
        <w:t>субсчетов</w:t>
      </w:r>
      <w:proofErr w:type="spellEnd"/>
      <w:r>
        <w:rPr>
          <w:iCs/>
          <w:szCs w:val="22"/>
        </w:rPr>
        <w:t xml:space="preserve"> и аналитических счетов приведен в Приложении N 1 к настоящему Положению об учетной политике.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1.4. Формы первичных учетных документов, регистров бухгалтерского учета, а также документов для внутренней бухгалтерской отчетности.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Для документального подтверждения фактов хозяйственной жизни организацией применяются унифицированные формы первичной учетной документации, утвержденные:</w:t>
      </w:r>
      <w:bookmarkStart w:id="4" w:name="l1386"/>
      <w:bookmarkEnd w:id="4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Постановлением Госкомстата России</w:t>
      </w:r>
      <w:r>
        <w:rPr>
          <w:rStyle w:val="apple-converted-space"/>
          <w:iCs/>
          <w:szCs w:val="22"/>
        </w:rPr>
        <w:t> </w:t>
      </w:r>
      <w:hyperlink r:id="rId15" w:anchor="l0" w:tgtFrame="_blank" w:history="1">
        <w:r>
          <w:rPr>
            <w:rStyle w:val="a3"/>
            <w:iCs/>
            <w:szCs w:val="22"/>
          </w:rPr>
          <w:t>от 30.10.1997 г. N 71а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"Об утверждении унифицированных форм первичной учетной документации по учету труда и его оплаты, основных средств и нематериальных активов, материалов, малоценных и быстроизнашивающихся предметов, работ в капитальном строительстве";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Постановлением Госкомстата России</w:t>
      </w:r>
      <w:r>
        <w:rPr>
          <w:rStyle w:val="apple-converted-space"/>
          <w:iCs/>
          <w:szCs w:val="22"/>
        </w:rPr>
        <w:t> </w:t>
      </w:r>
      <w:hyperlink r:id="rId16" w:anchor="l0" w:tgtFrame="_blank" w:history="1">
        <w:r>
          <w:rPr>
            <w:rStyle w:val="a3"/>
            <w:iCs/>
            <w:szCs w:val="22"/>
          </w:rPr>
          <w:t>от 21.01.2003 г. N 7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"Об утверждении унифицированных форм первичной учетной документации по учету основных средств";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Постановлением Госкомстата России</w:t>
      </w:r>
      <w:r>
        <w:rPr>
          <w:rStyle w:val="apple-converted-space"/>
          <w:iCs/>
          <w:szCs w:val="22"/>
        </w:rPr>
        <w:t> </w:t>
      </w:r>
      <w:hyperlink r:id="rId17" w:anchor="l0" w:tgtFrame="_blank" w:history="1">
        <w:r>
          <w:rPr>
            <w:rStyle w:val="a3"/>
            <w:iCs/>
            <w:szCs w:val="22"/>
          </w:rPr>
          <w:t>от 11.11.1999 г. N 100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"Об утверждении унифицированных форм первичной учетной документации по учету работ в капитальном строительстве и ремонтно-строительных работ";</w:t>
      </w:r>
      <w:bookmarkStart w:id="5" w:name="l1387"/>
      <w:bookmarkEnd w:id="5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Постановлением Госкомстата России</w:t>
      </w:r>
      <w:r>
        <w:rPr>
          <w:rStyle w:val="apple-converted-space"/>
          <w:iCs/>
          <w:szCs w:val="22"/>
        </w:rPr>
        <w:t> </w:t>
      </w:r>
      <w:hyperlink r:id="rId18" w:anchor="l0" w:tgtFrame="_blank" w:history="1">
        <w:r>
          <w:rPr>
            <w:rStyle w:val="a3"/>
            <w:iCs/>
            <w:szCs w:val="22"/>
          </w:rPr>
          <w:t>от 18.08.1998 г. N 88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"Об утверждении унифицированных форм первичной учетной документации по учету кассовых операций, по учету результатов инвентаризации";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Постановлением Госкомстата России</w:t>
      </w:r>
      <w:r>
        <w:rPr>
          <w:rStyle w:val="apple-converted-space"/>
          <w:iCs/>
          <w:szCs w:val="22"/>
        </w:rPr>
        <w:t> </w:t>
      </w:r>
      <w:hyperlink r:id="rId19" w:anchor="l0" w:tgtFrame="_blank" w:history="1">
        <w:r>
          <w:rPr>
            <w:rStyle w:val="a3"/>
            <w:iCs/>
            <w:szCs w:val="22"/>
          </w:rPr>
          <w:t>от 27.03.2000 г. N 26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"Об утверждении унифицированной формы первичной учетной документации N ИНВ-26 "Ведомость учета результатов, выявленных инвентаризацией";</w:t>
      </w:r>
      <w:bookmarkStart w:id="6" w:name="l1388"/>
      <w:bookmarkEnd w:id="6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Постановлением Росстата</w:t>
      </w:r>
      <w:r>
        <w:rPr>
          <w:rStyle w:val="apple-converted-space"/>
          <w:iCs/>
          <w:szCs w:val="22"/>
        </w:rPr>
        <w:t> </w:t>
      </w:r>
      <w:hyperlink r:id="rId20" w:anchor="l0" w:tgtFrame="_blank" w:history="1">
        <w:r>
          <w:rPr>
            <w:rStyle w:val="a3"/>
            <w:iCs/>
            <w:szCs w:val="22"/>
          </w:rPr>
          <w:t>от 09.08.1999 г. N 66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"Об утверждении унифицированных форм первичной учетной документации по учету продукции, товарно-материальных ценностей в местах хранения";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Постановлением Госкомстата России</w:t>
      </w:r>
      <w:r>
        <w:rPr>
          <w:rStyle w:val="apple-converted-space"/>
          <w:iCs/>
          <w:szCs w:val="22"/>
        </w:rPr>
        <w:t> </w:t>
      </w:r>
      <w:hyperlink r:id="rId21" w:anchor="l0" w:tgtFrame="_blank" w:history="1">
        <w:r>
          <w:rPr>
            <w:rStyle w:val="a3"/>
            <w:iCs/>
            <w:szCs w:val="22"/>
          </w:rPr>
          <w:t>от 25.12.1998 г. N 132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"Об утверждении унифицированных форм первичной учетной документации по учету торговых операций";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Постановлением Госкомстата России</w:t>
      </w:r>
      <w:r>
        <w:rPr>
          <w:rStyle w:val="apple-converted-space"/>
          <w:iCs/>
          <w:szCs w:val="22"/>
        </w:rPr>
        <w:t> </w:t>
      </w:r>
      <w:hyperlink r:id="rId22" w:anchor="l0" w:tgtFrame="_blank" w:history="1">
        <w:r>
          <w:rPr>
            <w:rStyle w:val="a3"/>
            <w:iCs/>
            <w:szCs w:val="22"/>
          </w:rPr>
          <w:t>от 05.01.2004 г. N 1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"Об утверждении унифицированных форм первичной учетной документации по учету труда и его оплаты";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Протоколом заседания ГМЭК</w:t>
      </w:r>
      <w:r>
        <w:rPr>
          <w:rStyle w:val="apple-converted-space"/>
          <w:iCs/>
          <w:szCs w:val="22"/>
        </w:rPr>
        <w:t> </w:t>
      </w:r>
      <w:hyperlink r:id="rId23" w:anchor="l0" w:tgtFrame="_blank" w:history="1">
        <w:r>
          <w:rPr>
            <w:rStyle w:val="a3"/>
            <w:iCs/>
            <w:szCs w:val="22"/>
          </w:rPr>
          <w:t>от 12.09.2003 г. N 3/75-2003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"О решениях государственной межведомственной экспертной комиссии по контрольно-кассовым машинам" (вместе с "Альбомом унифицированных форм первичной расчетно-учетной документации по денежным расчетам с населением при оформлении билетов на проезд в пассажирском автомобильном транспорте междугородного сообщения");</w:t>
      </w:r>
      <w:bookmarkStart w:id="7" w:name="l1389"/>
      <w:bookmarkEnd w:id="7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Постановлением Госкомстата России</w:t>
      </w:r>
      <w:r>
        <w:rPr>
          <w:rStyle w:val="apple-converted-space"/>
          <w:iCs/>
          <w:szCs w:val="22"/>
        </w:rPr>
        <w:t> </w:t>
      </w:r>
      <w:hyperlink r:id="rId24" w:anchor="l0" w:tgtFrame="_blank" w:history="1">
        <w:r>
          <w:rPr>
            <w:rStyle w:val="a3"/>
            <w:iCs/>
            <w:szCs w:val="22"/>
          </w:rPr>
          <w:t>от 01.08.2001 г. N 55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"Об утверждении унифицированной формы первичной учетной документации N АО-1 "Авансовый отчет";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Постановлением Госкомстата России</w:t>
      </w:r>
      <w:r>
        <w:rPr>
          <w:rStyle w:val="apple-converted-space"/>
          <w:iCs/>
          <w:szCs w:val="22"/>
        </w:rPr>
        <w:t> </w:t>
      </w:r>
      <w:hyperlink r:id="rId25" w:anchor="l0" w:tgtFrame="_blank" w:history="1">
        <w:r>
          <w:rPr>
            <w:rStyle w:val="a3"/>
            <w:iCs/>
            <w:szCs w:val="22"/>
          </w:rPr>
          <w:t>от 28.11.1997 г. N 78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"Об утверждении унифицированных форм первичной учетной документации по учету работы строительных машин и механизмов, работ в автомобильном транспорте".</w:t>
      </w:r>
      <w:bookmarkStart w:id="8" w:name="l1390"/>
      <w:bookmarkEnd w:id="8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Кроме того, организацией применяются самостоятельно разработанные формы документов, отвечающие требованиям</w:t>
      </w:r>
      <w:r>
        <w:rPr>
          <w:rStyle w:val="apple-converted-space"/>
          <w:iCs/>
          <w:szCs w:val="22"/>
        </w:rPr>
        <w:t> </w:t>
      </w:r>
      <w:hyperlink r:id="rId26" w:anchor="l455" w:tgtFrame="_blank" w:history="1">
        <w:r>
          <w:rPr>
            <w:rStyle w:val="a3"/>
            <w:iCs/>
            <w:szCs w:val="22"/>
          </w:rPr>
          <w:t>пункта 2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 xml:space="preserve">статьи 9 Закона N 402-ФЗ. </w:t>
      </w:r>
      <w:r>
        <w:rPr>
          <w:iCs/>
          <w:szCs w:val="22"/>
        </w:rPr>
        <w:lastRenderedPageBreak/>
        <w:t>Самостоятельно разработанные формы первичной учетной документации, в том числе бухгалтерская справка, заявление на проведение взаимозачета, претензионное письмо и так далее приведены в Приложении N 2 к настоящему Положению об учетной политике.</w:t>
      </w:r>
      <w:bookmarkStart w:id="9" w:name="l1391"/>
      <w:bookmarkEnd w:id="9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 xml:space="preserve">Первичные учетные документы составляются на бумажных носителях непосредственно в момент совершения факта хозяйственной жизни, а если это не предоставляется </w:t>
      </w:r>
      <w:proofErr w:type="gramStart"/>
      <w:r>
        <w:rPr>
          <w:iCs/>
          <w:szCs w:val="22"/>
        </w:rPr>
        <w:t>возможным</w:t>
      </w:r>
      <w:proofErr w:type="gramEnd"/>
      <w:r>
        <w:rPr>
          <w:iCs/>
          <w:szCs w:val="22"/>
        </w:rPr>
        <w:t xml:space="preserve"> - непосредственно после его окончания.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Перечень лиц, имеющих право подписи первичных учетных документов, утвержденный руководителем организации по согласованию с бухгалтером, приведен в Приложении N 3 к настоящему Положению об учетной политике.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Бухгалтерский учет ведется в регистрах, предусмотренных автоматизированной системой ведения бухгалтерского учета</w:t>
      </w:r>
      <w:bookmarkStart w:id="10" w:name="l1392"/>
      <w:bookmarkEnd w:id="10"/>
      <w:r>
        <w:rPr>
          <w:iCs/>
          <w:szCs w:val="22"/>
        </w:rPr>
        <w:t>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Правильность отражения хозяйственных операций в регистрах бухгалтерского учета обеспечивают лица, составившие и подписавшие их.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Регистры бухгалтерского учета, составленные автоматизированным способом, выводятся на печать по окончании каждого отчетного периода в течение 2 рабочих дней и подписываются ответственными лицами.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При необходимости бухгалтерские регистры выводятся на печать до истечения отчетного периода.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1.5. Правила документооборота и технология обработки учетной информации.</w:t>
      </w:r>
      <w:bookmarkStart w:id="11" w:name="l1393"/>
      <w:bookmarkEnd w:id="11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 целях обеспечения необходимого качества ведения бухгалтерского учета организация ведет документооборот в соответствии с графиком, утвержденным руководителем. График документооборота, применяемый в организации, приведен в Приложении N 4 к настоящему Положению об учетной политике.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Обработка учетной информации осуществляется в организации автоматизированным способом с помощью бухгалтерской программы.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1.6. Порядок проведения инвентаризации активов и обязательств организации.</w:t>
      </w:r>
      <w:bookmarkStart w:id="12" w:name="l1394"/>
      <w:bookmarkEnd w:id="12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 целях обеспечения достоверности данных бухгалтерского учета и бухгалтерской отчетности организация проводит инвентаризацию имущества и обязательств, в ходе которой проверяются и документально подтверждаются их наличие, состояние и оценка.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Помимо случаев обязательного проведения инвентаризации, перечисленных в</w:t>
      </w:r>
      <w:r>
        <w:rPr>
          <w:rStyle w:val="apple-converted-space"/>
          <w:iCs/>
          <w:szCs w:val="22"/>
        </w:rPr>
        <w:t> </w:t>
      </w:r>
      <w:hyperlink r:id="rId27" w:anchor="l84" w:tgtFrame="_blank" w:history="1">
        <w:r>
          <w:rPr>
            <w:rStyle w:val="a3"/>
            <w:iCs/>
            <w:szCs w:val="22"/>
          </w:rPr>
          <w:t>пункте 27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Положения N 34н, организация ежеквартально проводит инвентаризацию кассы и выборочные инвентаризации материальных ценностей по местам их хранения. Порядок проведения ежеквартальной инвентаризации приведен в Приложении N 5 к настоящему Положению об учетной политике.</w:t>
      </w:r>
      <w:bookmarkStart w:id="13" w:name="l1395"/>
      <w:bookmarkEnd w:id="13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Состав инвентаризационной комиссии, сроки и порядок ее деятельности определяются приказом руководителя.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1.7. Способы оценки активов и обязательств.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На основании</w:t>
      </w:r>
      <w:r>
        <w:rPr>
          <w:rStyle w:val="apple-converted-space"/>
          <w:iCs/>
          <w:szCs w:val="22"/>
        </w:rPr>
        <w:t> </w:t>
      </w:r>
      <w:hyperlink r:id="rId28" w:anchor="l251" w:tgtFrame="_blank" w:history="1">
        <w:r>
          <w:rPr>
            <w:rStyle w:val="a3"/>
            <w:iCs/>
            <w:szCs w:val="22"/>
          </w:rPr>
          <w:t>статьи 12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Закона N 402-ФЗ денежное измерение объектов бухгалтерского учета производится в валюте Российской Федерации.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lastRenderedPageBreak/>
        <w:t>В соответствии с</w:t>
      </w:r>
      <w:r>
        <w:rPr>
          <w:rStyle w:val="apple-converted-space"/>
          <w:iCs/>
          <w:szCs w:val="22"/>
        </w:rPr>
        <w:t> </w:t>
      </w:r>
      <w:hyperlink r:id="rId29" w:anchor="l79" w:tgtFrame="_blank" w:history="1">
        <w:r>
          <w:rPr>
            <w:rStyle w:val="a3"/>
            <w:iCs/>
            <w:szCs w:val="22"/>
          </w:rPr>
          <w:t>пунктом 25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Положения N 34н, организация ведет бухгалтерский учет имущества, обязательств и хозяйственных операций в рублях и копейках.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1.8. Выдача денежных средств под отчет.</w:t>
      </w:r>
      <w:bookmarkStart w:id="14" w:name="l1396"/>
      <w:bookmarkEnd w:id="14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Денежные средства на хозяйственные нужды организации выдаются на срок 30 календарных дней. Лица, получившие деньги под отчет, обязаны не позднее 3 рабочих дней по истечении указанного срока, предъявить в бухгалтерию организации авансовый отчет об израсходованных суммах и произвести окончательный расчет по ним. Перечень лиц, имеющих право получать денежные средства под отчет, приведен в Приложении N 6 к настоящему Положению об учетной политике.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Лица, получившие деньги под отчет на командировочные расходы, обязаны не позднее 3 (трех) рабочих дней со дня возвращения их из командировки, предъявить в бухгалтерию отчет об израсходованных суммах и произвести окончательный расчет по ним.</w:t>
      </w:r>
      <w:bookmarkStart w:id="15" w:name="l1397"/>
      <w:bookmarkEnd w:id="15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1.9. Критерий существенности.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При формировании показателей бухгалтерского и налогового учета, а также во всех случаях использования в нормативно-правовых актах принципа существенности, в организации устанавливается уровень существенности, который служит основным критерием признания фактов существенными.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Существенными признаются обстоятельства, значительно влияющие на достоверность отчетности.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Существенной признается сумма, отношение которой к общему итогу соответствующих данных составляет не менее 5% (пяти процентов).</w:t>
      </w:r>
      <w:bookmarkStart w:id="16" w:name="l1398"/>
      <w:bookmarkEnd w:id="16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1.10. Организация внутреннего контроля.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На основании</w:t>
      </w:r>
      <w:r>
        <w:rPr>
          <w:rStyle w:val="apple-converted-space"/>
          <w:iCs/>
          <w:szCs w:val="22"/>
        </w:rPr>
        <w:t> </w:t>
      </w:r>
      <w:hyperlink r:id="rId30" w:anchor="l270" w:tgtFrame="_blank" w:history="1">
        <w:r>
          <w:rPr>
            <w:rStyle w:val="a3"/>
            <w:iCs/>
            <w:szCs w:val="22"/>
          </w:rPr>
          <w:t>статьи 19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Закона N 402-ФЗ компания осуществляет внутренний контроль совершаемых фактов хозяйственной жизни. Порядок организации такого контроля приведен в Приложении N 9 к настоящему Положению об учетной политике.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1.11. Состав нормативных документов по бухгалтерскому учету, не применяемых организацией.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Обладая правом применения УСВБУ, организация не применяет в бухгалтерском учете: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Положение по бухгалтерскому учету "Учет договоров строительного подряда" (ПБУ 2/2008) утвержденное Приказом Минфина России от 24.10.2008 г. N 116н (Основание:</w:t>
      </w:r>
      <w:r>
        <w:rPr>
          <w:rStyle w:val="apple-converted-space"/>
          <w:iCs/>
          <w:szCs w:val="22"/>
        </w:rPr>
        <w:t> </w:t>
      </w:r>
      <w:hyperlink r:id="rId31" w:anchor="l11" w:tgtFrame="_blank" w:history="1">
        <w:r>
          <w:rPr>
            <w:rStyle w:val="a3"/>
            <w:iCs/>
            <w:szCs w:val="22"/>
          </w:rPr>
          <w:t>пункт 2.1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ПБУ 2/2008);</w:t>
      </w:r>
      <w:bookmarkStart w:id="17" w:name="l1399"/>
      <w:bookmarkEnd w:id="17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Положение по бухгалтерскому учету "Информация о связанных сторонах" (ПБУ 11/2008), утвержденное Приказом Минфина России от 29.04.2008 г. N 48н (Основание:</w:t>
      </w:r>
      <w:r>
        <w:rPr>
          <w:rStyle w:val="apple-converted-space"/>
          <w:iCs/>
          <w:szCs w:val="22"/>
        </w:rPr>
        <w:t> </w:t>
      </w:r>
      <w:hyperlink r:id="rId32" w:anchor="l5" w:tgtFrame="_blank" w:history="1">
        <w:r>
          <w:rPr>
            <w:rStyle w:val="a3"/>
            <w:iCs/>
            <w:szCs w:val="22"/>
          </w:rPr>
          <w:t>пункт 3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ПБУ 11/2008);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Положение по бухгалтерскому учету "Информация по сегментам" (ПБУ 12/2010), утвержденное Приказом Минфина России от 08.11.2010 г. N 143н (Основание:</w:t>
      </w:r>
      <w:r>
        <w:rPr>
          <w:rStyle w:val="apple-converted-space"/>
          <w:iCs/>
          <w:szCs w:val="22"/>
        </w:rPr>
        <w:t> </w:t>
      </w:r>
      <w:hyperlink r:id="rId33" w:anchor="l8" w:tgtFrame="_blank" w:history="1">
        <w:r>
          <w:rPr>
            <w:rStyle w:val="a3"/>
            <w:iCs/>
            <w:szCs w:val="22"/>
          </w:rPr>
          <w:t>пункт 2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ПБУ 12/2010);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Положение по бухгалтерскому учету "Информация по прекращаемой деятельности" (ПБУ 16/02), утвержденное Приказом Минфина России от 02.07.2002 г. N 66н (Основание:</w:t>
      </w:r>
      <w:r>
        <w:rPr>
          <w:rStyle w:val="apple-converted-space"/>
          <w:iCs/>
          <w:szCs w:val="22"/>
        </w:rPr>
        <w:t> </w:t>
      </w:r>
      <w:hyperlink r:id="rId34" w:anchor="l9" w:tgtFrame="_blank" w:history="1">
        <w:r>
          <w:rPr>
            <w:rStyle w:val="a3"/>
            <w:iCs/>
            <w:szCs w:val="22"/>
          </w:rPr>
          <w:t>пункт 3.1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ПБУ 16/02);</w:t>
      </w:r>
      <w:bookmarkStart w:id="18" w:name="l1400"/>
      <w:bookmarkEnd w:id="18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lastRenderedPageBreak/>
        <w:t>-</w:t>
      </w:r>
      <w:r>
        <w:rPr>
          <w:rStyle w:val="apple-converted-space"/>
          <w:iCs/>
          <w:szCs w:val="22"/>
        </w:rPr>
        <w:t> </w:t>
      </w:r>
      <w:hyperlink r:id="rId35" w:anchor="l11" w:tgtFrame="_blank" w:history="1">
        <w:r>
          <w:rPr>
            <w:rStyle w:val="a3"/>
            <w:iCs/>
            <w:szCs w:val="22"/>
          </w:rPr>
          <w:t>Положение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по бухгалтерскому учету "Оценочные обязательства, условные обязательства и условные активы" (ПБУ 8/2010)", утвержденное Приказом Минфина России от 13.12.2010 г. N 167н.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Кроме того, на основании: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proofErr w:type="gramStart"/>
      <w:r>
        <w:rPr>
          <w:iCs/>
          <w:szCs w:val="22"/>
        </w:rPr>
        <w:t>• пунктов</w:t>
      </w:r>
      <w:r>
        <w:rPr>
          <w:rStyle w:val="apple-converted-space"/>
          <w:iCs/>
          <w:szCs w:val="22"/>
        </w:rPr>
        <w:t> </w:t>
      </w:r>
      <w:hyperlink r:id="rId36" w:anchor="l22" w:tgtFrame="_blank" w:history="1">
        <w:r>
          <w:rPr>
            <w:rStyle w:val="a3"/>
            <w:iCs/>
            <w:szCs w:val="22"/>
          </w:rPr>
          <w:t>9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и</w:t>
      </w:r>
      <w:r>
        <w:rPr>
          <w:rStyle w:val="apple-converted-space"/>
          <w:iCs/>
          <w:szCs w:val="22"/>
        </w:rPr>
        <w:t> </w:t>
      </w:r>
      <w:hyperlink r:id="rId37" w:anchor="l33" w:tgtFrame="_blank" w:history="1">
        <w:r>
          <w:rPr>
            <w:rStyle w:val="a3"/>
            <w:iCs/>
            <w:szCs w:val="22"/>
          </w:rPr>
          <w:t>14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Положения по бухгалтерскому учету "Исправление ошибок в бухгалтерском учете и отчетности" (ПБУ 22/2010), утвержденного Приказом Минфина России от 28.06.2010 г. N 63н организация исправляет существенные ошибки предшествующего отчетного года, выявленные после утверждения бухгалтерской отчетности за этот год, без ретроспективного пересчета сравнительных показателей отчетности с включением прибыли или убытка, возникших в результате исправления указанной ошибки, в</w:t>
      </w:r>
      <w:proofErr w:type="gramEnd"/>
      <w:r>
        <w:rPr>
          <w:iCs/>
          <w:szCs w:val="22"/>
        </w:rPr>
        <w:t xml:space="preserve"> состав прочих доходов или расходов текущего отчетного периода.</w:t>
      </w:r>
      <w:bookmarkStart w:id="19" w:name="l1401"/>
      <w:bookmarkEnd w:id="19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•</w:t>
      </w:r>
      <w:r>
        <w:rPr>
          <w:rStyle w:val="apple-converted-space"/>
          <w:iCs/>
          <w:szCs w:val="22"/>
        </w:rPr>
        <w:t> </w:t>
      </w:r>
      <w:hyperlink r:id="rId38" w:anchor="l50" w:tgtFrame="_blank" w:history="1">
        <w:r>
          <w:rPr>
            <w:rStyle w:val="a3"/>
            <w:iCs/>
            <w:szCs w:val="22"/>
          </w:rPr>
          <w:t>пункта 15.1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ПБУ 1/2008 отражает в бухгалтерской отчетности последствия изменения Учетной политики перспективно, за исключением случаев, когда иной порядок установлен законодательством Российской Федерации и (или) нормативным правовым актом по бухгалтерскому учету.</w:t>
      </w:r>
      <w:bookmarkStart w:id="20" w:name="l1402"/>
      <w:bookmarkEnd w:id="20"/>
    </w:p>
    <w:p w:rsidR="00687935" w:rsidRDefault="00687935" w:rsidP="00687935">
      <w:pPr>
        <w:pStyle w:val="a4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МЕТОДОЛОГИЧЕСКИЕ АСПЕКТЫ УЧЕТНОЙ ПОЛИТИКИ В ЧАСТИ ВЕДЕНИЯ БУХГАЛТЕРСКОГО УЧЕТА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 Учет основных средств (далее - ОС) и нематериальных активов (далее - НМА).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1.1. Критерии отнесения активов в состав основных средств.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Критериями отнесения имущества в состав основных средств являются условия, перечисленные в</w:t>
      </w:r>
      <w:r>
        <w:rPr>
          <w:rStyle w:val="apple-converted-space"/>
          <w:iCs/>
          <w:szCs w:val="22"/>
        </w:rPr>
        <w:t> </w:t>
      </w:r>
      <w:hyperlink r:id="rId39" w:anchor="l13" w:tgtFrame="_blank" w:history="1">
        <w:r>
          <w:rPr>
            <w:rStyle w:val="a3"/>
            <w:iCs/>
            <w:szCs w:val="22"/>
          </w:rPr>
          <w:t>пункте 4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Положения по бухгалтерскому учету "Учет основных средств" ПБУ 6/01, утвержденного Приказом Минфина России от 30.03.2001 г. N 26н (далее - ПБУ 6/01).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Активы, удовлетворяющие условиям</w:t>
      </w:r>
      <w:r>
        <w:rPr>
          <w:rStyle w:val="apple-converted-space"/>
          <w:iCs/>
          <w:szCs w:val="22"/>
        </w:rPr>
        <w:t> </w:t>
      </w:r>
      <w:hyperlink r:id="rId40" w:anchor="l13" w:tgtFrame="_blank" w:history="1">
        <w:r>
          <w:rPr>
            <w:rStyle w:val="a3"/>
            <w:iCs/>
            <w:szCs w:val="22"/>
          </w:rPr>
          <w:t>пункта 4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ПБУ 6/01, стоимость которых за единицу не превышает 40 000 руб., учитываются организацией в качестве материально-производственных запасов.</w:t>
      </w:r>
      <w:bookmarkStart w:id="21" w:name="l1403"/>
      <w:bookmarkEnd w:id="21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 xml:space="preserve">Первичные учетные документы по движению (приему, выдаче, перемещению и списанию) "малоценных" ОС оформляются в порядке, предусмотренном для учета материально-производственных запасов. В целях обеспечения сохранности "малоценных" ОС, учитываемых в качестве МПЗ, стоимость такого имущества после передачи его в производство, принимается на </w:t>
      </w:r>
      <w:proofErr w:type="spellStart"/>
      <w:r>
        <w:rPr>
          <w:iCs/>
          <w:szCs w:val="22"/>
        </w:rPr>
        <w:t>забалансовый</w:t>
      </w:r>
      <w:proofErr w:type="spellEnd"/>
      <w:r>
        <w:rPr>
          <w:iCs/>
          <w:szCs w:val="22"/>
        </w:rPr>
        <w:t xml:space="preserve"> учет.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Приобретенные книги, брошюры и аналогичные издания учитываются в составе материально-производственных запасов и списываются на затраты по мере отпуска их в производство.</w:t>
      </w:r>
      <w:bookmarkStart w:id="22" w:name="l1404"/>
      <w:bookmarkEnd w:id="22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1.2. Состав инвентарного объекта.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Единицей бухгалтерского учета основных средств является инвентарный объект.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Инвентарным объектом признается объект со всеми приспособлениями и принадлежностями.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lastRenderedPageBreak/>
        <w:t>Если сроки полезного использования составных частей объекта ОС существенно различаются, то составные части объекта ОС учитываются как самостоятельные инвентарные объекты.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При этом сроки полезного использования составных частей объекта считаются существенными, если разница между ними составляет не менее 5% от величины большего срока полезного использования.</w:t>
      </w:r>
      <w:bookmarkStart w:id="23" w:name="l1405"/>
      <w:bookmarkEnd w:id="23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1.3. Порядок определения стоимости ОС</w:t>
      </w:r>
      <w:r>
        <w:rPr>
          <w:b/>
          <w:bCs/>
          <w:szCs w:val="22"/>
        </w:rPr>
        <w:t>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Обладая правом применения УСВБУ, организация определяет первоначальную стоимость ОС: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при их приобретении за плату - по цене поставщика (продавца) и затрат на монтаж (при наличии таких затрат и если они не учтены в цене);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при их сооружении (изготовлении) - в сумме, уплачиваемой по договорам строительного подряда и иным договорам, заключенным с целью приобретения, сооружения и изготовления основных средств.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При этом иные затраты, непосредственно связанные с приобретением, сооружением и изготовлением объекта основных средств, включаются в состав расходов по обычным видам деятельности в полной сумме в том периоде, в котором они были понесены.</w:t>
      </w:r>
      <w:bookmarkStart w:id="24" w:name="l1406"/>
      <w:bookmarkEnd w:id="24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1.4. Срок полезного использования ОС.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Срок полезного использования основных средств определяется, исходя из ожидаемого срока использования с учетом морального и физического износа, а также нормативно-правовых ограничений, при принятии объекта к бухгалтерскому учету.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Ожидаемый срок полезного использования определяется с учетом</w:t>
      </w:r>
      <w:r>
        <w:rPr>
          <w:rStyle w:val="apple-converted-space"/>
          <w:iCs/>
          <w:szCs w:val="22"/>
        </w:rPr>
        <w:t> </w:t>
      </w:r>
      <w:hyperlink r:id="rId41" w:anchor="l6" w:tgtFrame="_blank" w:history="1">
        <w:r>
          <w:rPr>
            <w:rStyle w:val="a3"/>
            <w:iCs/>
            <w:szCs w:val="22"/>
          </w:rPr>
          <w:t>Классификации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основных средств, утвержденной Постановлением Правительства Российской Федерации от 01.01.2002 г. N 1 "О классификации основных средств, включаемых в амортизационные группы" (далее - Классификация ОС).</w:t>
      </w:r>
      <w:bookmarkStart w:id="25" w:name="l1407"/>
      <w:bookmarkEnd w:id="25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 случае приобретения ОС, бывших в употреблении, организация определяет норму амортизации по этому имуществу с учетом срока полезного использования, уменьшенного на количество лет (месяцев) эксплуатации данного имущества предыдущим собственником.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 том случае, если предмет невозможно отнести ни к одной амортизационной группе, организация самостоятельно определяет срок его полезного использования на основании приказа руководителя.</w:t>
      </w:r>
      <w:bookmarkStart w:id="26" w:name="l1408"/>
      <w:bookmarkEnd w:id="26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1.5. Критерий формирования однородных групп ОС.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При формировании однородных групп ОС организация исходит из их назначения. В учете выделяются следующие группы ОС: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-здания, строения, помещения;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-торговое оборудование;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-транспортные средства;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-компьютерная и прочая офисная техника;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-мебель.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lastRenderedPageBreak/>
        <w:t>1.6. Амортизация объектов ОС.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Амортизация по всем группам однородных объектов основных средств начисляется линейным способом по нормам, рассчитанным исходя из срока полезного использования объекта.</w:t>
      </w:r>
      <w:bookmarkStart w:id="27" w:name="l1409"/>
      <w:bookmarkEnd w:id="27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Начисление амортизации приостанавливается в случаях перевода объектов на консервацию на срок более трех месяцев, а также в период восстановления объекта, продолжительность которого превышает 12 месяцев. Приостановление начисления амортизации оформляется приказом руководителя организации.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Обладая правом применения УСВБУ, организация начисляет амортизацию производственного и хозяйственного инвентаря единовременно в размере первоначальной стоимости объектов таких сре</w:t>
      </w:r>
      <w:proofErr w:type="gramStart"/>
      <w:r>
        <w:rPr>
          <w:iCs/>
          <w:szCs w:val="22"/>
        </w:rPr>
        <w:t>дств пр</w:t>
      </w:r>
      <w:proofErr w:type="gramEnd"/>
      <w:r>
        <w:rPr>
          <w:iCs/>
          <w:szCs w:val="22"/>
        </w:rPr>
        <w:t>и их принятии к бухгалтерскому учету.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1.7. Переоценка объектов ОС.</w:t>
      </w:r>
      <w:bookmarkStart w:id="28" w:name="l1410"/>
      <w:bookmarkEnd w:id="28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Организация не осуществляет переоценку объектов ОС.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1.8. Восстановление объектов ОС.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Восстановление ОС осуществляется посредством ремонта, модернизации и реконструкции.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 xml:space="preserve">В случае реконструкции или модернизации ОС сроки полезного использования ОС пересматриваются только в отношении полностью </w:t>
      </w:r>
      <w:proofErr w:type="spellStart"/>
      <w:r>
        <w:rPr>
          <w:iCs/>
          <w:szCs w:val="22"/>
        </w:rPr>
        <w:t>самортизированных</w:t>
      </w:r>
      <w:proofErr w:type="spellEnd"/>
      <w:r>
        <w:rPr>
          <w:iCs/>
          <w:szCs w:val="22"/>
        </w:rPr>
        <w:t xml:space="preserve"> объектов.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>Фактические затраты на ремонт ОС включаются в состав расходов на продажу по мере выполнения ремонтных работ в том периоде, в котором они были осуществлены.</w:t>
      </w:r>
      <w:bookmarkStart w:id="29" w:name="l1411"/>
      <w:bookmarkEnd w:id="29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1.9 Нематериальные активы</w:t>
      </w:r>
      <w:r>
        <w:rPr>
          <w:iCs/>
          <w:szCs w:val="22"/>
        </w:rPr>
        <w:t xml:space="preserve"> учитывать на счете 04 «Нематериальные активы» Плана счетов бухгалтерского учета финансово-хозяйственной деятельности организаций.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1.10</w:t>
      </w:r>
      <w:r>
        <w:rPr>
          <w:iCs/>
          <w:szCs w:val="22"/>
        </w:rPr>
        <w:t xml:space="preserve"> Приобретенные нематериальные активы учитывать упрощенным способом: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 xml:space="preserve">- оценивать по цене приобретения (цене поставщика); 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>- иные затраты, связанные с приобретением нематериального актива, включать в состав расходов по обычным видам деятельности в полной сумме в том периоде, в котором они были понесены;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 xml:space="preserve"> (Приказ Министерства финансов РФ от 16.05.2016 № 64н)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textAlignment w:val="baseline"/>
        <w:rPr>
          <w:iCs/>
          <w:szCs w:val="22"/>
        </w:rPr>
      </w:pPr>
      <w:r>
        <w:rPr>
          <w:b/>
          <w:iCs/>
          <w:szCs w:val="22"/>
        </w:rPr>
        <w:t>1.11</w:t>
      </w:r>
      <w:r>
        <w:rPr>
          <w:iCs/>
          <w:szCs w:val="22"/>
        </w:rPr>
        <w:t xml:space="preserve"> Нематериальные активы не подлежат амортизации и подлежат включению в состав расходов по обычным видам деятельности по мере их возникновения.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textAlignment w:val="baseline"/>
        <w:rPr>
          <w:iCs/>
          <w:szCs w:val="22"/>
        </w:rPr>
      </w:pPr>
      <w:r>
        <w:rPr>
          <w:iCs/>
          <w:szCs w:val="22"/>
        </w:rPr>
        <w:t xml:space="preserve">1.13. Затраты на </w:t>
      </w:r>
      <w:r>
        <w:rPr>
          <w:b/>
          <w:iCs/>
          <w:szCs w:val="22"/>
        </w:rPr>
        <w:t>НИОКР</w:t>
      </w:r>
      <w:r>
        <w:rPr>
          <w:iCs/>
          <w:szCs w:val="22"/>
        </w:rPr>
        <w:t xml:space="preserve"> включать в состав расходов по обычным видам деятельности по мере их возникновения.</w:t>
      </w:r>
      <w:r>
        <w:rPr>
          <w:iCs/>
          <w:szCs w:val="22"/>
        </w:rPr>
        <w:br/>
        <w:t>Основание: пункт 14 ПБУ 17/02.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2. Организация учета товаров.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2.1. Единица учета товаров.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На основании</w:t>
      </w:r>
      <w:r>
        <w:rPr>
          <w:rStyle w:val="apple-converted-space"/>
          <w:iCs/>
          <w:szCs w:val="22"/>
        </w:rPr>
        <w:t> </w:t>
      </w:r>
      <w:hyperlink r:id="rId42" w:anchor="l18" w:tgtFrame="_blank" w:history="1">
        <w:r>
          <w:rPr>
            <w:rStyle w:val="a3"/>
            <w:iCs/>
            <w:szCs w:val="22"/>
          </w:rPr>
          <w:t>пункта 5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 xml:space="preserve">Положения по бухгалтерскому учету "Учет материально-производственных запасов" ПБУ 5/01, утвержденного Приказом Минфина России от 09.06.2001 г. N 44н (далее - ПБУ 5/01) </w:t>
      </w:r>
      <w:r>
        <w:rPr>
          <w:b/>
          <w:iCs/>
          <w:szCs w:val="22"/>
        </w:rPr>
        <w:t>учет товаров в организации ведется по наименованиям</w:t>
      </w:r>
      <w:r>
        <w:rPr>
          <w:iCs/>
          <w:szCs w:val="22"/>
        </w:rPr>
        <w:t>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2.2. Оценка товаров и порядок принятия к учету.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lastRenderedPageBreak/>
        <w:t>На основании пунктов</w:t>
      </w:r>
      <w:r>
        <w:rPr>
          <w:rStyle w:val="apple-converted-space"/>
          <w:iCs/>
          <w:szCs w:val="22"/>
        </w:rPr>
        <w:t> </w:t>
      </w:r>
      <w:r>
        <w:t>13.1</w:t>
      </w:r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 xml:space="preserve">ПБУ 5/01 </w:t>
      </w:r>
      <w:bookmarkStart w:id="30" w:name="l1412"/>
      <w:bookmarkEnd w:id="30"/>
      <w:r>
        <w:rPr>
          <w:iCs/>
          <w:szCs w:val="22"/>
        </w:rPr>
        <w:t>приобретенные материально-производственные запасы по цене поставщика. При этом иные затраты, непосредственно связанные с приобретением материально-производственных запасов, включаются в состав расходов по обычным видам деятельности в полной сумме в том периоде, в котором они были понесены.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Формирование фактической себестоимости товаров осуществляется на</w:t>
      </w:r>
      <w:r>
        <w:rPr>
          <w:rStyle w:val="apple-converted-space"/>
          <w:iCs/>
          <w:szCs w:val="22"/>
        </w:rPr>
        <w:t> </w:t>
      </w:r>
      <w:hyperlink r:id="rId43" w:anchor="l212" w:tgtFrame="_blank" w:history="1">
        <w:r>
          <w:rPr>
            <w:rStyle w:val="a3"/>
            <w:iCs/>
            <w:szCs w:val="22"/>
          </w:rPr>
          <w:t>счете 41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"Товары" без применения</w:t>
      </w:r>
      <w:r>
        <w:rPr>
          <w:rStyle w:val="apple-converted-space"/>
          <w:iCs/>
          <w:szCs w:val="22"/>
        </w:rPr>
        <w:t> </w:t>
      </w:r>
      <w:hyperlink r:id="rId44" w:anchor="l142" w:tgtFrame="_blank" w:history="1">
        <w:r>
          <w:rPr>
            <w:rStyle w:val="a3"/>
            <w:iCs/>
            <w:szCs w:val="22"/>
          </w:rPr>
          <w:t>счета 15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"Заготовление и приобретение материальных ценностей".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2.3. Метод списания товаров при продаже и ином выбытии.</w:t>
      </w:r>
      <w:bookmarkStart w:id="31" w:name="l1413"/>
      <w:bookmarkEnd w:id="31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 соответствии с</w:t>
      </w:r>
      <w:r>
        <w:rPr>
          <w:rStyle w:val="apple-converted-space"/>
          <w:iCs/>
          <w:szCs w:val="22"/>
        </w:rPr>
        <w:t> </w:t>
      </w:r>
      <w:hyperlink r:id="rId45" w:anchor="l49" w:tgtFrame="_blank" w:history="1">
        <w:r>
          <w:rPr>
            <w:rStyle w:val="a3"/>
            <w:iCs/>
            <w:szCs w:val="22"/>
          </w:rPr>
          <w:t>пунктом 16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ПБУ 5/01 при продаже товаров и ином выбытии их оценка производится по методу ФИФО.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2.4. Учет отгруженных товаров.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 соответствии с</w:t>
      </w:r>
      <w:r>
        <w:rPr>
          <w:rStyle w:val="apple-converted-space"/>
          <w:iCs/>
          <w:szCs w:val="22"/>
        </w:rPr>
        <w:t> </w:t>
      </w:r>
      <w:hyperlink r:id="rId46" w:anchor="l186" w:tgtFrame="_blank" w:history="1">
        <w:r>
          <w:rPr>
            <w:rStyle w:val="a3"/>
            <w:iCs/>
            <w:szCs w:val="22"/>
          </w:rPr>
          <w:t>пунктом 61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Положения N 34н отгруженные товары, по которым не признана выручка, оцениваются по фактической полной себестоимости, включающие, в том числе затраты, связанные с их реализацией.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2.5. Учет тары.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Многооборотная тара, подлежащая возврату, учитывается организацией по залоговой цене на</w:t>
      </w:r>
      <w:r>
        <w:rPr>
          <w:rStyle w:val="apple-converted-space"/>
          <w:iCs/>
          <w:szCs w:val="22"/>
        </w:rPr>
        <w:t> </w:t>
      </w:r>
      <w:hyperlink r:id="rId47" w:anchor="l212" w:tgtFrame="_blank" w:history="1">
        <w:r>
          <w:rPr>
            <w:rStyle w:val="a3"/>
            <w:iCs/>
            <w:szCs w:val="22"/>
          </w:rPr>
          <w:t>счете 41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 xml:space="preserve">"Товары", </w:t>
      </w:r>
      <w:proofErr w:type="spellStart"/>
      <w:r>
        <w:rPr>
          <w:iCs/>
          <w:szCs w:val="22"/>
        </w:rPr>
        <w:t>субсчет</w:t>
      </w:r>
      <w:proofErr w:type="spellEnd"/>
      <w:r>
        <w:rPr>
          <w:iCs/>
          <w:szCs w:val="22"/>
        </w:rPr>
        <w:t xml:space="preserve"> 41-3 "Тара под товаром и порожняя".</w:t>
      </w:r>
      <w:bookmarkStart w:id="32" w:name="l1414"/>
      <w:bookmarkEnd w:id="32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2.6. Создание резерва под снижение стоимости товаров.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Организация не создает резерв под снижение стоимости товаров.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3.Организация учета материально-производственных запасов (далее - МПЗ).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3.1. Критерии отнесения объектов в состав МПЗ.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 составе материально-производственных запасов организацией учитываются активы: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используемые для управленческих нужд организации;</w:t>
      </w:r>
      <w:bookmarkStart w:id="33" w:name="l1416"/>
      <w:bookmarkEnd w:id="33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proofErr w:type="gramStart"/>
      <w:r>
        <w:rPr>
          <w:iCs/>
          <w:szCs w:val="22"/>
        </w:rPr>
        <w:t>- используемые в качестве материалов при ведении коммерческой деятельности.</w:t>
      </w:r>
      <w:proofErr w:type="gramEnd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 xml:space="preserve">Материалы и другие активы, предназначенные для создания </w:t>
      </w:r>
      <w:proofErr w:type="spellStart"/>
      <w:r>
        <w:rPr>
          <w:iCs/>
          <w:szCs w:val="22"/>
        </w:rPr>
        <w:t>внеоборотных</w:t>
      </w:r>
      <w:proofErr w:type="spellEnd"/>
      <w:r>
        <w:rPr>
          <w:iCs/>
          <w:szCs w:val="22"/>
        </w:rPr>
        <w:t xml:space="preserve"> активов, не являются МПЗ и учитываются на</w:t>
      </w:r>
      <w:r>
        <w:rPr>
          <w:rStyle w:val="apple-converted-space"/>
          <w:iCs/>
          <w:szCs w:val="22"/>
        </w:rPr>
        <w:t> </w:t>
      </w:r>
      <w:hyperlink r:id="rId48" w:anchor="l1136" w:tgtFrame="_blank" w:history="1">
        <w:r>
          <w:rPr>
            <w:rStyle w:val="a3"/>
            <w:iCs/>
            <w:szCs w:val="22"/>
          </w:rPr>
          <w:t>счете 10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 xml:space="preserve">"Материалы" обособленно. В бухгалтерском балансе отражаются в составе </w:t>
      </w:r>
      <w:proofErr w:type="spellStart"/>
      <w:r>
        <w:rPr>
          <w:iCs/>
          <w:szCs w:val="22"/>
        </w:rPr>
        <w:t>внеоборотных</w:t>
      </w:r>
      <w:proofErr w:type="spellEnd"/>
      <w:r>
        <w:rPr>
          <w:iCs/>
          <w:szCs w:val="22"/>
        </w:rPr>
        <w:t xml:space="preserve"> активов компании (Письмо Минфина России</w:t>
      </w:r>
      <w:r>
        <w:rPr>
          <w:rStyle w:val="apple-converted-space"/>
          <w:iCs/>
          <w:szCs w:val="22"/>
        </w:rPr>
        <w:t> </w:t>
      </w:r>
      <w:hyperlink r:id="rId49" w:anchor="l0" w:tgtFrame="_blank" w:history="1">
        <w:r>
          <w:rPr>
            <w:rStyle w:val="a3"/>
            <w:iCs/>
            <w:szCs w:val="22"/>
          </w:rPr>
          <w:t>от 29.01.2014 г. N 07-04-18/01</w:t>
        </w:r>
      </w:hyperlink>
      <w:r>
        <w:rPr>
          <w:iCs/>
          <w:szCs w:val="22"/>
        </w:rPr>
        <w:t>).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3.2. Единица учета МПЗ.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 xml:space="preserve">Учет материально-производственных запасов ведется организацией по </w:t>
      </w:r>
      <w:r>
        <w:rPr>
          <w:b/>
          <w:iCs/>
          <w:szCs w:val="22"/>
        </w:rPr>
        <w:t>номенклатурным номерам</w:t>
      </w:r>
      <w:r>
        <w:rPr>
          <w:iCs/>
          <w:szCs w:val="22"/>
        </w:rPr>
        <w:t>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3.3. Оценка материально-производственных запасов и порядок принятия их к учету.</w:t>
      </w:r>
      <w:bookmarkStart w:id="34" w:name="l1417"/>
      <w:bookmarkEnd w:id="34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Обладая правом применения УСВБУ, организация учитывает приобретенные материально-производственные запасы по цене поставщика.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Иные затраты, непосредственно связанные с приобретением материально-производственных запасов, включаются в состав расходов по обычным видам деятельности в полной сумме в том периоде, в котором они были понесены.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Расходы на приобретение материально-производственных запасов, предназначенных для управленческих нужд, учитываются в составе расходов по обычным видам деятельности в полной сумме по мере их приобретения (осуществления).</w:t>
      </w:r>
      <w:bookmarkStart w:id="35" w:name="l1418"/>
      <w:bookmarkEnd w:id="35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lastRenderedPageBreak/>
        <w:t>3.4. Метод оценки при списании МПЗ в производство и ином выбытии.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На основании</w:t>
      </w:r>
      <w:r>
        <w:rPr>
          <w:rStyle w:val="apple-converted-space"/>
          <w:iCs/>
          <w:szCs w:val="22"/>
        </w:rPr>
        <w:t> </w:t>
      </w:r>
      <w:hyperlink r:id="rId50" w:anchor="l49" w:tgtFrame="_blank" w:history="1">
        <w:r>
          <w:rPr>
            <w:rStyle w:val="a3"/>
            <w:iCs/>
            <w:szCs w:val="22"/>
          </w:rPr>
          <w:t>пункта 16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ПБУ 5/01 отпуск МПЗ в производство осуществляется по методу ФИФО.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4. Учет специальной одежды.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Документальное оформление хозяйственных операций со спецодеждой осуществляется посредством применения унифицированных форм первичных учетных документов, предусмотренных законодательством для учета движения материально-производственных запасов.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 xml:space="preserve">Если сроки выдачи специальной одежды не превышают 12 месяцев, то ее стоимость списывается на затраты единовременно. В целях контроля организацией ведется </w:t>
      </w:r>
      <w:proofErr w:type="spellStart"/>
      <w:r>
        <w:rPr>
          <w:iCs/>
          <w:szCs w:val="22"/>
        </w:rPr>
        <w:t>забалансовый</w:t>
      </w:r>
      <w:proofErr w:type="spellEnd"/>
      <w:r>
        <w:rPr>
          <w:iCs/>
          <w:szCs w:val="22"/>
        </w:rPr>
        <w:t xml:space="preserve"> учет спецодежды.</w:t>
      </w:r>
      <w:bookmarkStart w:id="36" w:name="l1419"/>
      <w:bookmarkEnd w:id="36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Погашение стоимости специальной одежды производится линейным способом, исходя из сроков полезного использования специальной одежды, специальной обуви и других средств индивидуальной защиты.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5. Учет финансовых вложений.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5.1. Единица бухгалтерского учета финансовых вложений.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Единицей учета финансовых вложений является серия, партия, однородная совокупность финансовых вложений.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 xml:space="preserve">Аналитический учет финансовых вложений ведется на счете </w:t>
      </w:r>
      <w:r>
        <w:rPr>
          <w:b/>
          <w:iCs/>
          <w:szCs w:val="22"/>
        </w:rPr>
        <w:t>58 "Финансовые вложения"</w:t>
      </w:r>
      <w:r>
        <w:rPr>
          <w:iCs/>
          <w:szCs w:val="22"/>
        </w:rPr>
        <w:t xml:space="preserve"> по организациям, в которые осуществлены эти вложения. Учет по единице бухгалтерского учета ведется в отдельном журнале.</w:t>
      </w:r>
      <w:bookmarkStart w:id="37" w:name="l1420"/>
      <w:bookmarkEnd w:id="37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5.2. Порядок учета затрат на приобретение ценных бумаг.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proofErr w:type="gramStart"/>
      <w:r>
        <w:rPr>
          <w:iCs/>
          <w:szCs w:val="22"/>
        </w:rPr>
        <w:t>На основании</w:t>
      </w:r>
      <w:r>
        <w:rPr>
          <w:rStyle w:val="apple-converted-space"/>
          <w:iCs/>
          <w:szCs w:val="22"/>
        </w:rPr>
        <w:t> </w:t>
      </w:r>
      <w:hyperlink r:id="rId51" w:anchor="l38" w:tgtFrame="_blank" w:history="1">
        <w:r>
          <w:rPr>
            <w:rStyle w:val="a3"/>
            <w:iCs/>
            <w:szCs w:val="22"/>
          </w:rPr>
          <w:t>пункта 11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Положения по бухгалтерскому учету "Учет финансовых вложений" ПБУ 19/02, утвержденного Приказом Минфина России от 10.12.2002 г. N 126н (далее - ПБУ 19/02), несущественные по сравнению с договорной стоимостью ценных бумаг затраты на их приобретение включаются в состав расходов организации в том отчетном периоде, когда ценные бумаги приняты к учету.</w:t>
      </w:r>
      <w:proofErr w:type="gramEnd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5.3. Периодичность проведения корректировки оценки финансовых вложений, по которым определяется рыночная стоимость.</w:t>
      </w:r>
      <w:bookmarkStart w:id="38" w:name="l1421"/>
      <w:bookmarkEnd w:id="38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 соответствии с</w:t>
      </w:r>
      <w:r>
        <w:rPr>
          <w:rStyle w:val="apple-converted-space"/>
          <w:iCs/>
          <w:szCs w:val="22"/>
        </w:rPr>
        <w:t> </w:t>
      </w:r>
      <w:hyperlink r:id="rId52" w:anchor="l155" w:tgtFrame="_blank" w:history="1">
        <w:r>
          <w:rPr>
            <w:rStyle w:val="a3"/>
            <w:iCs/>
            <w:szCs w:val="22"/>
          </w:rPr>
          <w:t>пунктом 20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ПБУ 19/02 указанная корректировка финансовых вложений производится организацией ежеквартально.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5.4. Возможность равномерного доведения первоначальной стоимости ценных бумаг, по которым не определяется рыночная стоимость до их номинальной стоимости.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На основании</w:t>
      </w:r>
      <w:r>
        <w:rPr>
          <w:rStyle w:val="apple-converted-space"/>
          <w:iCs/>
          <w:szCs w:val="22"/>
        </w:rPr>
        <w:t> </w:t>
      </w:r>
      <w:hyperlink r:id="rId53" w:anchor="l56" w:tgtFrame="_blank" w:history="1">
        <w:r>
          <w:rPr>
            <w:rStyle w:val="a3"/>
            <w:iCs/>
            <w:szCs w:val="22"/>
          </w:rPr>
          <w:t>пункта 22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ПБУ 19/02 по долговым ценным бумагам, по которым не определяется текущая рыночная стоимость, разница между первоначальной стоимостью и номинальной стоимостью в течение срока их обращения относится на финансовые результаты по мере причитающегося по ним в соответствии с условиями выпуска дохода.</w:t>
      </w:r>
      <w:bookmarkStart w:id="39" w:name="l1422"/>
      <w:bookmarkEnd w:id="39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5.5. Способ оценки финансовых вложений при их выбытии.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 соответствии с</w:t>
      </w:r>
      <w:r>
        <w:rPr>
          <w:rStyle w:val="apple-converted-space"/>
          <w:iCs/>
          <w:szCs w:val="22"/>
        </w:rPr>
        <w:t> </w:t>
      </w:r>
      <w:hyperlink r:id="rId54" w:anchor="l63" w:tgtFrame="_blank" w:history="1">
        <w:r>
          <w:rPr>
            <w:rStyle w:val="a3"/>
            <w:iCs/>
            <w:szCs w:val="22"/>
          </w:rPr>
          <w:t>пунктом 26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 xml:space="preserve">ПБУ 19/02, при выбытии финансовых вложений, по которым текущая рыночная стоимость не определяется, организацией оценка финансовых </w:t>
      </w:r>
      <w:r>
        <w:rPr>
          <w:iCs/>
          <w:szCs w:val="22"/>
        </w:rPr>
        <w:lastRenderedPageBreak/>
        <w:t>вложений производится по первоначальной стоимости каждой единицы бухгалтерского учета финансовых вложений.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 xml:space="preserve">5.6. Периодичность </w:t>
      </w:r>
      <w:proofErr w:type="gramStart"/>
      <w:r>
        <w:rPr>
          <w:b/>
          <w:bCs/>
          <w:iCs/>
          <w:szCs w:val="22"/>
        </w:rPr>
        <w:t>проведения проверки наличия устойчивого снижения стоимости финансовых вложений</w:t>
      </w:r>
      <w:proofErr w:type="gramEnd"/>
      <w:r>
        <w:rPr>
          <w:b/>
          <w:bCs/>
          <w:iCs/>
          <w:szCs w:val="22"/>
        </w:rPr>
        <w:t>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На основании</w:t>
      </w:r>
      <w:r>
        <w:rPr>
          <w:rStyle w:val="apple-converted-space"/>
          <w:iCs/>
          <w:szCs w:val="22"/>
        </w:rPr>
        <w:t> </w:t>
      </w:r>
      <w:hyperlink r:id="rId55" w:anchor="l86" w:tgtFrame="_blank" w:history="1">
        <w:r>
          <w:rPr>
            <w:rStyle w:val="a3"/>
            <w:iCs/>
            <w:szCs w:val="22"/>
          </w:rPr>
          <w:t>пункта 38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ПБУ 19/02 организация проводит указанную проверку ежегодно.</w:t>
      </w:r>
      <w:bookmarkStart w:id="40" w:name="l1423"/>
      <w:bookmarkEnd w:id="40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6. Организация учета расходов.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Расходами организации признается уменьшение экономических выгод в результате выбытия активов или возникновения обязательств. Расходы организации подразделяются на расходы по обычным видам деятельности и прочие расходы.</w:t>
      </w:r>
      <w:r>
        <w:rPr>
          <w:rFonts w:asciiTheme="minorHAnsi" w:hAnsiTheme="minorHAnsi" w:cstheme="minorHAnsi"/>
        </w:rPr>
        <w:t xml:space="preserve"> </w:t>
      </w:r>
      <w:r>
        <w:rPr>
          <w:iCs/>
          <w:szCs w:val="22"/>
        </w:rPr>
        <w:t>Расходы признаются после погашения задолженности.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6.1. Расходы по обычным видам деятельности.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Обычным видом деятельности для организации является оптовая торговля парфюмерными и косметическими товарами.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Бухгалтерский учет расходов ведется с использованием</w:t>
      </w:r>
      <w:r>
        <w:rPr>
          <w:rStyle w:val="apple-converted-space"/>
          <w:iCs/>
          <w:szCs w:val="22"/>
        </w:rPr>
        <w:t> </w:t>
      </w:r>
      <w:hyperlink r:id="rId56" w:anchor="l236" w:tgtFrame="_blank" w:history="1">
        <w:r>
          <w:rPr>
            <w:rStyle w:val="a3"/>
            <w:iCs/>
            <w:szCs w:val="22"/>
          </w:rPr>
          <w:t>счета 44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"Расходы на продажу".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Расходы по обычным видам деятельности принимаются к бухгалтерскому учету в сумме, исчисленной в денежном выражении, равной величине оплаты в денежном выражении или иной форме или величине кредиторской задолженности.</w:t>
      </w:r>
      <w:bookmarkStart w:id="41" w:name="l1424"/>
      <w:bookmarkEnd w:id="41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6.2. Организация учета расходов на продажу.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iCs/>
          <w:szCs w:val="22"/>
        </w:rPr>
        <w:t>6.2.1</w:t>
      </w:r>
      <w:r>
        <w:rPr>
          <w:iCs/>
          <w:szCs w:val="22"/>
        </w:rPr>
        <w:t xml:space="preserve"> Информация о расходах, связанных с продажей товаров отражается по</w:t>
      </w:r>
      <w:r>
        <w:rPr>
          <w:rStyle w:val="apple-converted-space"/>
          <w:iCs/>
          <w:szCs w:val="22"/>
        </w:rPr>
        <w:t> </w:t>
      </w:r>
      <w:hyperlink r:id="rId57" w:anchor="l236" w:tgtFrame="_blank" w:history="1">
        <w:r>
          <w:rPr>
            <w:rStyle w:val="a3"/>
            <w:iCs/>
            <w:szCs w:val="22"/>
          </w:rPr>
          <w:t>счету 44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"Расходы на продажу". Аналитический учет по счету 44 "Расходы на продажу" ведется по следующим статьям расходов: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транспортные расходы;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расходы на оплату труда;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расходы на аренду;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на содержание зданий, сооружений, помещений и инвентаря;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расходы по хранению и подработке товаров;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рекламные расходы;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представительские расходы;</w:t>
      </w:r>
      <w:bookmarkStart w:id="42" w:name="l1425"/>
      <w:bookmarkEnd w:id="42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командировочные расходы;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другие аналогичные по назначению расходы.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>Расходы на продажу ежемесячно полностью списываются в дебет</w:t>
      </w:r>
      <w:r>
        <w:rPr>
          <w:rStyle w:val="apple-converted-space"/>
          <w:iCs/>
          <w:szCs w:val="22"/>
        </w:rPr>
        <w:t> </w:t>
      </w:r>
      <w:hyperlink r:id="rId58" w:anchor="l440" w:tgtFrame="_blank" w:history="1">
        <w:r>
          <w:rPr>
            <w:rStyle w:val="a3"/>
            <w:iCs/>
            <w:szCs w:val="22"/>
          </w:rPr>
          <w:t>счета 90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"Продажи</w:t>
      </w:r>
      <w:bookmarkStart w:id="43" w:name="l1426"/>
      <w:bookmarkEnd w:id="43"/>
      <w:r>
        <w:rPr>
          <w:iCs/>
          <w:szCs w:val="22"/>
        </w:rPr>
        <w:t>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6.2.2.</w:t>
      </w:r>
      <w:r>
        <w:rPr>
          <w:iCs/>
          <w:szCs w:val="22"/>
        </w:rPr>
        <w:t xml:space="preserve"> Отчисления в резерв по сомнительным долгам производятся ежемесячно.</w:t>
      </w:r>
      <w:r>
        <w:rPr>
          <w:iCs/>
          <w:szCs w:val="22"/>
        </w:rPr>
        <w:br/>
        <w:t>Сомнительной признается задолженность, если: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>- должник не исполнил обязательство вовремя;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>- долг не обеспечен залогом, задатком, поручительством, банковской гарантией;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>- у должника значительные финансовые затруднения;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>- в отношении должника возбудили процедуру банкротства.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b/>
          <w:iCs/>
          <w:szCs w:val="22"/>
        </w:rPr>
      </w:pPr>
      <w:r>
        <w:rPr>
          <w:b/>
          <w:iCs/>
          <w:szCs w:val="22"/>
        </w:rPr>
        <w:t>В расчет резерва суммы дебиторской задолженности: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>- включаются в полном объеме, если задолженность просрочена более чем на 90 календарных дней;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lastRenderedPageBreak/>
        <w:t>- включаются в объеме 50%, если задолженность просрочена от 45 до 90 календарных дней (включительно);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>- не включаются, если задолженность просрочена менее чем на 45 календарных дней.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6.3. Учет оценочных обязательств.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 xml:space="preserve">6.3.1. </w:t>
      </w:r>
      <w:r>
        <w:rPr>
          <w:bCs/>
          <w:iCs/>
          <w:szCs w:val="22"/>
        </w:rPr>
        <w:t>ПБУ 8/2010 не применятся.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7. Учет расходов по займам и кредитам.</w:t>
      </w:r>
      <w:bookmarkStart w:id="44" w:name="l1428"/>
      <w:bookmarkEnd w:id="44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7.1. Учет процентов, причитающихся к оплате заимодавцу.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Проценты по любым займам включаются в состав прочих расходов исходя из условий предоставления займа (кредита).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7.2. Порядок признания дополнительных затрат по займам.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 соответствии с</w:t>
      </w:r>
      <w:r>
        <w:rPr>
          <w:rStyle w:val="apple-converted-space"/>
          <w:iCs/>
          <w:szCs w:val="22"/>
        </w:rPr>
        <w:t> </w:t>
      </w:r>
      <w:hyperlink r:id="rId59" w:anchor="l17" w:tgtFrame="_blank" w:history="1">
        <w:r>
          <w:rPr>
            <w:rStyle w:val="a3"/>
            <w:iCs/>
            <w:szCs w:val="22"/>
          </w:rPr>
          <w:t>пунктом 8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Положения по бухгалтерскому учету "Учет расходов по займам и кредитам" (ПБУ 15/2008), утвержденного Приказом Минфина России от 06.10.2008 г. N 107н (далее - ПБУ 15/2008) дополнительные затраты по займам включаются в состав прочих расходов единовременно.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8. Учет активов и обязательств, стоимость которых выражена в иностранной валюте.</w:t>
      </w:r>
      <w:bookmarkStart w:id="45" w:name="l1429"/>
      <w:bookmarkEnd w:id="45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proofErr w:type="gramStart"/>
      <w:r>
        <w:rPr>
          <w:iCs/>
          <w:szCs w:val="22"/>
        </w:rPr>
        <w:t>На основании</w:t>
      </w:r>
      <w:r>
        <w:rPr>
          <w:rStyle w:val="apple-converted-space"/>
          <w:iCs/>
          <w:szCs w:val="22"/>
        </w:rPr>
        <w:t> </w:t>
      </w:r>
      <w:hyperlink r:id="rId60" w:anchor="l87" w:tgtFrame="_blank" w:history="1">
        <w:r>
          <w:rPr>
            <w:rStyle w:val="a3"/>
            <w:iCs/>
            <w:szCs w:val="22"/>
          </w:rPr>
          <w:t>пункта 7</w:t>
        </w:r>
      </w:hyperlink>
      <w:r>
        <w:rPr>
          <w:rStyle w:val="apple-converted-space"/>
          <w:iCs/>
          <w:szCs w:val="22"/>
        </w:rPr>
        <w:t> </w:t>
      </w:r>
      <w:r>
        <w:rPr>
          <w:iCs/>
          <w:szCs w:val="22"/>
        </w:rPr>
        <w:t>Положения по бухгалтерскому учету "Учет активов и обязательств, стоимость которых выражена в иностранной валюте" (ПБУ 3/2006), утвержденного Приказом Минфина России от 27.11.2006 г. N 154н, организация не производит пересчет стоимости денежных знаков в кассе организации и средств на банковских счетах (банковских вкладах), выраженной в иностранной валюте на дату изменения курса.</w:t>
      </w:r>
      <w:proofErr w:type="gramEnd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9. Организация учета доходов.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Доходами организации признается увеличение экономических выгод в результате поступления активов (денежных средств, иного имущества) и (или) погашения обязательств, приводящее к увеличению капитала организации, за исключением вкладов участников (собственников имущества).</w:t>
      </w:r>
      <w:bookmarkStart w:id="46" w:name="l1430"/>
      <w:bookmarkEnd w:id="46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 xml:space="preserve">Доходы организации в зависимости от их характера, условия получения и направлений деятельности организации подразделяются </w:t>
      </w:r>
      <w:proofErr w:type="gramStart"/>
      <w:r>
        <w:rPr>
          <w:iCs/>
          <w:szCs w:val="22"/>
        </w:rPr>
        <w:t>на</w:t>
      </w:r>
      <w:proofErr w:type="gramEnd"/>
      <w:r>
        <w:rPr>
          <w:iCs/>
          <w:szCs w:val="22"/>
        </w:rPr>
        <w:t>: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доходы от обычных видов деятельности;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- прочие доходы.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9.1. Учет доходов от обычных видов деятельности организации.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Доходами от обычных видов деятельности является выручка от продажи покупных промышленных товаров.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>Выручка признается в бухучете по мере поступления денежных средств от покупателей (заказчиков) при соблюдении условий, определенных в подпунктах «а», «б», «в» и «д» пункта 12 ПБУ 9/99.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Выручка принимается к бухгалтерскому учету в сумме, исчисленной в денежном выражении, равной величине поступления денежных средств и иного имущества и (или) величине дебиторской задолженности.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b/>
          <w:bCs/>
          <w:iCs/>
          <w:szCs w:val="22"/>
        </w:rPr>
      </w:pP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9.2. Прочие доходы.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iCs/>
          <w:szCs w:val="22"/>
        </w:rPr>
        <w:t>Доходы, отличные от доходов по обычным видам деятельности, считаются прочими поступлениями организации.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10. Методика отражения в бухгалтерском учете сумм штрафных санкций за нарушения законодательства о страховых взносах.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b/>
          <w:szCs w:val="22"/>
        </w:rPr>
      </w:pPr>
      <w:r>
        <w:rPr>
          <w:iCs/>
          <w:szCs w:val="22"/>
        </w:rPr>
        <w:t>Начисление возможных сумм штрафных санкций в бухгалтерском учете производится организацией с использованием</w:t>
      </w:r>
      <w:r>
        <w:rPr>
          <w:rStyle w:val="apple-converted-space"/>
          <w:iCs/>
          <w:szCs w:val="22"/>
        </w:rPr>
        <w:t> </w:t>
      </w:r>
      <w:hyperlink r:id="rId61" w:anchor="l451" w:tgtFrame="_blank" w:history="1">
        <w:r>
          <w:rPr>
            <w:rStyle w:val="a3"/>
            <w:b/>
            <w:iCs/>
            <w:szCs w:val="22"/>
          </w:rPr>
          <w:t>счета 91</w:t>
        </w:r>
      </w:hyperlink>
      <w:r>
        <w:rPr>
          <w:rStyle w:val="apple-converted-space"/>
          <w:b/>
          <w:iCs/>
          <w:szCs w:val="22"/>
        </w:rPr>
        <w:t> </w:t>
      </w:r>
      <w:r>
        <w:rPr>
          <w:b/>
          <w:iCs/>
          <w:szCs w:val="22"/>
        </w:rPr>
        <w:t>"Прочие доходы и расходы".</w:t>
      </w:r>
    </w:p>
    <w:p w:rsidR="00687935" w:rsidRDefault="00687935" w:rsidP="00687935">
      <w:pPr>
        <w:pStyle w:val="a4"/>
        <w:spacing w:before="0" w:beforeAutospacing="0" w:after="0" w:afterAutospacing="0" w:line="360" w:lineRule="atLeast"/>
        <w:jc w:val="both"/>
        <w:textAlignment w:val="baseline"/>
        <w:rPr>
          <w:b/>
          <w:bCs/>
          <w:iCs/>
          <w:szCs w:val="22"/>
        </w:rPr>
      </w:pPr>
      <w:r>
        <w:rPr>
          <w:b/>
          <w:bCs/>
          <w:iCs/>
          <w:szCs w:val="22"/>
        </w:rPr>
        <w:t>_______________________________________________________________________________________</w:t>
      </w:r>
    </w:p>
    <w:p w:rsidR="00687935" w:rsidRDefault="00687935" w:rsidP="00687935">
      <w:pPr>
        <w:pStyle w:val="a4"/>
        <w:spacing w:before="0" w:beforeAutospacing="0" w:after="0" w:afterAutospacing="0" w:line="360" w:lineRule="atLeast"/>
        <w:jc w:val="both"/>
        <w:textAlignment w:val="baseline"/>
        <w:rPr>
          <w:b/>
          <w:bCs/>
          <w:iCs/>
          <w:szCs w:val="22"/>
        </w:rPr>
      </w:pPr>
    </w:p>
    <w:p w:rsidR="00687935" w:rsidRDefault="00687935" w:rsidP="00687935">
      <w:pPr>
        <w:pStyle w:val="a4"/>
        <w:spacing w:before="0" w:beforeAutospacing="0" w:after="0" w:afterAutospacing="0" w:line="360" w:lineRule="atLeast"/>
        <w:jc w:val="both"/>
        <w:textAlignment w:val="baseline"/>
        <w:rPr>
          <w:szCs w:val="22"/>
        </w:rPr>
      </w:pPr>
      <w:r>
        <w:rPr>
          <w:b/>
          <w:bCs/>
          <w:iCs/>
          <w:szCs w:val="22"/>
        </w:rPr>
        <w:t>МЕТОДОЛОГИЧЕСКИЕ АСПЕКТЫ УЧЕТНОЙ ПОЛИТИКИ В ЧАСТИ ВЕДЕНИЯ НАЛОГОВОГО УЧЕТА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</w:t>
      </w:r>
      <w:r>
        <w:rPr>
          <w:iCs/>
          <w:szCs w:val="22"/>
        </w:rPr>
        <w:t xml:space="preserve">. Ведение налогового учета возлагается на бухгалтерию, возглавляемую главным бухгалтером. 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2.</w:t>
      </w:r>
      <w:r>
        <w:rPr>
          <w:iCs/>
          <w:szCs w:val="22"/>
        </w:rPr>
        <w:t xml:space="preserve"> Применять объект налогообложения в виде разницы между доходами и расходами организации.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3.</w:t>
      </w:r>
      <w:r>
        <w:rPr>
          <w:iCs/>
          <w:szCs w:val="22"/>
        </w:rPr>
        <w:t xml:space="preserve"> Книгу учета доходов и расходов вести </w:t>
      </w:r>
      <w:proofErr w:type="spellStart"/>
      <w:r>
        <w:rPr>
          <w:iCs/>
          <w:szCs w:val="22"/>
        </w:rPr>
        <w:t>автоматизированно</w:t>
      </w:r>
      <w:proofErr w:type="spellEnd"/>
      <w:r>
        <w:rPr>
          <w:iCs/>
          <w:szCs w:val="22"/>
        </w:rPr>
        <w:t>. 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4.</w:t>
      </w:r>
      <w:r>
        <w:rPr>
          <w:iCs/>
          <w:szCs w:val="22"/>
        </w:rPr>
        <w:t xml:space="preserve"> Записи в книге учета доходов и расходов осуществлять на основании первичных документов по каждой хозяйственной операции.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b/>
          <w:iCs/>
          <w:szCs w:val="22"/>
        </w:rPr>
      </w:pPr>
      <w:r>
        <w:rPr>
          <w:b/>
          <w:iCs/>
          <w:szCs w:val="22"/>
        </w:rPr>
        <w:t>Учет амортизируемого имущества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5.</w:t>
      </w:r>
      <w:r>
        <w:rPr>
          <w:iCs/>
          <w:szCs w:val="22"/>
        </w:rPr>
        <w:t xml:space="preserve"> В целях исчисления единого налога основным средством признается имущество, используемое в качестве сре</w:t>
      </w:r>
      <w:proofErr w:type="gramStart"/>
      <w:r>
        <w:rPr>
          <w:iCs/>
          <w:szCs w:val="22"/>
        </w:rPr>
        <w:t>дств тр</w:t>
      </w:r>
      <w:proofErr w:type="gramEnd"/>
      <w:r>
        <w:rPr>
          <w:iCs/>
          <w:szCs w:val="22"/>
        </w:rPr>
        <w:t xml:space="preserve">уда для производства продукции (выполнения работ, оказания услуг) или для управления организацией, первоначальная стоимость которого на дату ввода в эксплуатацию превышает величину, установленную </w:t>
      </w:r>
      <w:r>
        <w:rPr>
          <w:b/>
          <w:iCs/>
          <w:szCs w:val="22"/>
        </w:rPr>
        <w:t>пунктом 1 статьи 256 Налогового кодекса РФ</w:t>
      </w:r>
      <w:r>
        <w:rPr>
          <w:iCs/>
          <w:szCs w:val="22"/>
        </w:rPr>
        <w:t>, и сроком полезного использования более 12 месяцев.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6.</w:t>
      </w:r>
      <w:r>
        <w:rPr>
          <w:iCs/>
          <w:szCs w:val="22"/>
        </w:rPr>
        <w:t xml:space="preserve"> Для определения стоимости основного средства используются данные бухгалтерского учета по счету 01 «Основные средства» о первоначальной стоимости объекта. 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7.</w:t>
      </w:r>
      <w:r>
        <w:rPr>
          <w:iCs/>
          <w:szCs w:val="22"/>
        </w:rPr>
        <w:t xml:space="preserve"> При условии оплаты первоначальная стоимость основного средства, а также расходы на его дооборудование (реконструкцию, модернизацию и техническое перевооружение) </w:t>
      </w:r>
      <w:proofErr w:type="gramStart"/>
      <w:r>
        <w:rPr>
          <w:iCs/>
          <w:szCs w:val="22"/>
        </w:rPr>
        <w:t>отражаются в книге учета доходов и расходов равными долями начиная</w:t>
      </w:r>
      <w:proofErr w:type="gramEnd"/>
      <w:r>
        <w:rPr>
          <w:iCs/>
          <w:szCs w:val="22"/>
        </w:rPr>
        <w:t xml:space="preserve"> с квартала, в котором оплаченное основное средство было введено в эксплуатацию, и до конца года. При расчете доли стоимость частично оплаченных основных средств учитывается в размере частичной оплаты.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8.</w:t>
      </w:r>
      <w:r>
        <w:rPr>
          <w:iCs/>
          <w:szCs w:val="22"/>
        </w:rPr>
        <w:t xml:space="preserve"> Доля стоимости основного средства (нематериального актива), приобретенного в период применения УСН, подлежащая признанию в отчетном периоде, определяется делением первоначальной стоимости на количество кварталов, оставшихся до конца года, включая квартал, в котором выполнены все условия по списанию стоимости объекта в расходы. </w:t>
      </w:r>
      <w:proofErr w:type="gramStart"/>
      <w:r>
        <w:rPr>
          <w:iCs/>
          <w:szCs w:val="22"/>
        </w:rPr>
        <w:t xml:space="preserve">В случае если в эксплуатацию введено частично оплаченное основное средство, то доля его стоимости, признаваемая в текущем и оставшихся до конца года кварталах, </w:t>
      </w:r>
      <w:r>
        <w:rPr>
          <w:iCs/>
          <w:szCs w:val="22"/>
        </w:rPr>
        <w:lastRenderedPageBreak/>
        <w:t>определяется делением суммы частичной оплаты за квартал на количество кварталов, оставшихся до конца года, включая квартал, в котором осуществлена частичная оплата введенного в эксплуатацию объекта.</w:t>
      </w:r>
      <w:proofErr w:type="gramEnd"/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b/>
          <w:iCs/>
          <w:szCs w:val="22"/>
        </w:rPr>
      </w:pPr>
      <w:r>
        <w:rPr>
          <w:b/>
          <w:iCs/>
          <w:szCs w:val="22"/>
        </w:rPr>
        <w:t>Учет товарно-материальных ценностей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color w:val="FF0000"/>
          <w:szCs w:val="22"/>
        </w:rPr>
      </w:pPr>
      <w:r>
        <w:rPr>
          <w:b/>
          <w:iCs/>
          <w:szCs w:val="22"/>
        </w:rPr>
        <w:t>9.</w:t>
      </w:r>
      <w:r>
        <w:rPr>
          <w:iCs/>
          <w:szCs w:val="22"/>
        </w:rPr>
        <w:t xml:space="preserve"> </w:t>
      </w:r>
      <w:r>
        <w:rPr>
          <w:iCs/>
          <w:color w:val="FF0000"/>
          <w:szCs w:val="22"/>
        </w:rPr>
        <w:t>В состав материальных расходов включается цена приобретения материалов. Расходы на комиссионные вознаграждения посредникам, ввозные таможенные пошлины и сборы, расходы на транспортировку, а также расходы на информационные и консультационные услуги, связанные с приобретением материалов. Суммы налога на добавленную стоимость, уплаченные поставщикам при приобретении материальных запасов, отражаются в книге учета доходов и расходов отдельной строкой в момент признания материалов в составе затрат.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10.</w:t>
      </w:r>
      <w:r>
        <w:rPr>
          <w:iCs/>
          <w:szCs w:val="22"/>
        </w:rPr>
        <w:t xml:space="preserve"> Расходы на ГСМ в пределах нормативов учитываются в составе материальных расходов. </w:t>
      </w:r>
      <w:r>
        <w:rPr>
          <w:iCs/>
          <w:szCs w:val="22"/>
        </w:rPr>
        <w:br/>
        <w:t>Датой признания расходов считается дата оплаты ГСМ.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11.</w:t>
      </w:r>
      <w:r>
        <w:rPr>
          <w:iCs/>
          <w:szCs w:val="22"/>
        </w:rPr>
        <w:t xml:space="preserve"> Нормативы для признания расходов на ГСМ в составе затрат рассчитываются по мере осуществления поездок на основании путевых листов. Запись вносится в книгу учета доходов и расходов в размере сумм, не превышающих норматив.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12.</w:t>
      </w:r>
      <w:r>
        <w:rPr>
          <w:iCs/>
          <w:szCs w:val="22"/>
        </w:rPr>
        <w:t xml:space="preserve"> Стоимость товаров, приобретенных для дальнейшей реализации, определяется исходя из цены их приобретения по договору (уменьшенной на сумму НДС, предъявленного поставщиком товаров). Транспортно-заготовительные расходы учитываются в составе затрат в качестве расходов, связанных с приобретением товаров, на самостоятельном основании отдельно от стоимости товаров.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13.</w:t>
      </w:r>
      <w:r>
        <w:rPr>
          <w:iCs/>
          <w:szCs w:val="22"/>
        </w:rPr>
        <w:t xml:space="preserve"> Стоимость товаров, приобретенных для перепродажи, учитывается в составе затрат по мере реализации товаров. Оценка всех реализованных товаров осуществляется по стоимости первых по времени приобретения товаров (ФИФО).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14.</w:t>
      </w:r>
      <w:r>
        <w:rPr>
          <w:iCs/>
          <w:szCs w:val="22"/>
        </w:rPr>
        <w:t xml:space="preserve"> Суммы налога на добавленную стоимость, предъявленные по товарам, приобретенным для перепродажи, включаются в состав затрат по мере реализации товаров. При этом суммы НДС отражаются в книге учета доходов и расходов отдельной строкой.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15.</w:t>
      </w:r>
      <w:r>
        <w:rPr>
          <w:iCs/>
          <w:szCs w:val="22"/>
        </w:rPr>
        <w:t xml:space="preserve"> Расходы, связанные с приобретением товаров, в том числе расходы по обслуживанию и транспортировке товаров, учитываются в составе затрат по мере фактической оплаты.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16.</w:t>
      </w:r>
      <w:r>
        <w:rPr>
          <w:iCs/>
          <w:szCs w:val="22"/>
        </w:rPr>
        <w:t xml:space="preserve"> Запись в книге учета доходов и расходов о признании материалов в составе затрат осуществляется на основании платежного поручения (или иного документа, подтверждающего оплату материалов или расходов, связанных с их приобретением). 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iCs/>
          <w:szCs w:val="22"/>
        </w:rPr>
        <w:t xml:space="preserve">Запись в книге учета доходов и расходов о признании товаров в составе затрат осуществляется на основании накладной на отпуск товаров покупателю. 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b/>
          <w:iCs/>
          <w:szCs w:val="22"/>
        </w:rPr>
      </w:pPr>
      <w:r>
        <w:rPr>
          <w:b/>
          <w:iCs/>
          <w:szCs w:val="22"/>
        </w:rPr>
        <w:t>Учет затрат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17.</w:t>
      </w:r>
      <w:r>
        <w:rPr>
          <w:iCs/>
          <w:szCs w:val="22"/>
        </w:rPr>
        <w:t xml:space="preserve"> К расходам на реализацию товаров, приобретенных для перепродажи, относятся расходы по хранению и транспортировке товаров до покупателя, а также расходы на обслуживание товаров, в том числе расходы на аренду и содержание торговых зданий и помещений, расходы на рекламу и вознаграждения посредников, реализующих товары. </w:t>
      </w:r>
      <w:r>
        <w:rPr>
          <w:iCs/>
          <w:szCs w:val="22"/>
        </w:rPr>
        <w:lastRenderedPageBreak/>
        <w:t xml:space="preserve">Расходы на реализацию товаров учитываются в составе затрат после их фактической оплаты. 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18.</w:t>
      </w:r>
      <w:r>
        <w:rPr>
          <w:iCs/>
          <w:szCs w:val="22"/>
        </w:rPr>
        <w:t xml:space="preserve"> Сумма расходов (за исключением расходов на ГСМ), учитываемых при расчете единого налога в пределах нормативов, рассчитывается ежеквартально нарастающим итогом исходя из оплаченных расходов отчетного (налогового) периода. Запись о корректировке нормируемых затрат вносится в книгу учета доходов и расходов после соответствующего расчета в конце отчетного периода.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19.</w:t>
      </w:r>
      <w:r>
        <w:rPr>
          <w:iCs/>
          <w:szCs w:val="22"/>
        </w:rPr>
        <w:t xml:space="preserve"> Доходы и расходы от переоценки имущества в виде валютных ценностей и требований (обязательств), стоимость которых выражена в иностранной валюте, не учитываются.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b/>
          <w:iCs/>
          <w:szCs w:val="22"/>
        </w:rPr>
      </w:pPr>
      <w:r>
        <w:rPr>
          <w:b/>
          <w:iCs/>
          <w:szCs w:val="22"/>
        </w:rPr>
        <w:t>Учет убытков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20.</w:t>
      </w:r>
      <w:r>
        <w:rPr>
          <w:iCs/>
          <w:szCs w:val="22"/>
        </w:rPr>
        <w:t xml:space="preserve"> Организация уменьшает налогооблагаемую базу за текущий год на всю сумму убытка за </w:t>
      </w:r>
      <w:proofErr w:type="gramStart"/>
      <w:r>
        <w:rPr>
          <w:iCs/>
          <w:szCs w:val="22"/>
        </w:rPr>
        <w:t>предшествующие</w:t>
      </w:r>
      <w:proofErr w:type="gramEnd"/>
      <w:r>
        <w:rPr>
          <w:iCs/>
          <w:szCs w:val="22"/>
        </w:rPr>
        <w:t xml:space="preserve"> 10 налоговых периодов. При этом убыток не переносится на ту часть прибыли текущего года, при которой сумма единого налога не превышает сумму минимального налога.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  <w:r>
        <w:rPr>
          <w:b/>
          <w:iCs/>
          <w:szCs w:val="22"/>
        </w:rPr>
        <w:t>21.</w:t>
      </w:r>
      <w:r>
        <w:rPr>
          <w:iCs/>
          <w:szCs w:val="22"/>
        </w:rPr>
        <w:t xml:space="preserve"> Организация включает в расходы разницу между суммой уплаченного минимального налога и суммой налога, рассчитанного в общем порядке. В том числе увеличивает сумму </w:t>
      </w:r>
      <w:bookmarkStart w:id="47" w:name="_GoBack"/>
      <w:bookmarkEnd w:id="47"/>
      <w:r>
        <w:rPr>
          <w:iCs/>
          <w:szCs w:val="22"/>
        </w:rPr>
        <w:t>убытков, переносимых на будущее.</w:t>
      </w: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</w:p>
    <w:p w:rsidR="00687935" w:rsidRDefault="00687935" w:rsidP="00687935">
      <w:pPr>
        <w:pStyle w:val="dt-p"/>
        <w:spacing w:before="0" w:beforeAutospacing="0" w:after="0" w:afterAutospacing="0" w:line="360" w:lineRule="atLeast"/>
        <w:jc w:val="both"/>
        <w:textAlignment w:val="baseline"/>
        <w:rPr>
          <w:iCs/>
          <w:szCs w:val="22"/>
        </w:rPr>
      </w:pPr>
    </w:p>
    <w:p w:rsidR="0047235A" w:rsidRDefault="0047235A"/>
    <w:sectPr w:rsidR="00472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4F4"/>
    <w:rsid w:val="0047235A"/>
    <w:rsid w:val="00687935"/>
    <w:rsid w:val="009E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8793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87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uiPriority w:val="99"/>
    <w:rsid w:val="00687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79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8793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87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uiPriority w:val="99"/>
    <w:rsid w:val="00687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7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1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ormativ.kontur.ru/document?moduleId=1&amp;documentId=215087" TargetMode="External"/><Relationship Id="rId18" Type="http://schemas.openxmlformats.org/officeDocument/2006/relationships/hyperlink" Target="https://normativ.kontur.ru/document?moduleId=1&amp;documentId=38720" TargetMode="External"/><Relationship Id="rId26" Type="http://schemas.openxmlformats.org/officeDocument/2006/relationships/hyperlink" Target="https://normativ.kontur.ru/document?moduleId=1&amp;documentId=215087" TargetMode="External"/><Relationship Id="rId39" Type="http://schemas.openxmlformats.org/officeDocument/2006/relationships/hyperlink" Target="https://normativ.kontur.ru/document?moduleId=1&amp;documentId=88548" TargetMode="External"/><Relationship Id="rId21" Type="http://schemas.openxmlformats.org/officeDocument/2006/relationships/hyperlink" Target="https://normativ.kontur.ru/document?moduleId=1&amp;documentId=32609" TargetMode="External"/><Relationship Id="rId34" Type="http://schemas.openxmlformats.org/officeDocument/2006/relationships/hyperlink" Target="https://normativ.kontur.ru/document?moduleId=1&amp;documentId=100565" TargetMode="External"/><Relationship Id="rId42" Type="http://schemas.openxmlformats.org/officeDocument/2006/relationships/hyperlink" Target="https://normativ.kontur.ru/document?moduleId=1&amp;documentId=274889" TargetMode="External"/><Relationship Id="rId47" Type="http://schemas.openxmlformats.org/officeDocument/2006/relationships/hyperlink" Target="https://normativ.kontur.ru/document?moduleId=1&amp;documentId=101061" TargetMode="External"/><Relationship Id="rId50" Type="http://schemas.openxmlformats.org/officeDocument/2006/relationships/hyperlink" Target="https://normativ.kontur.ru/document?moduleId=1&amp;documentId=274889" TargetMode="External"/><Relationship Id="rId55" Type="http://schemas.openxmlformats.org/officeDocument/2006/relationships/hyperlink" Target="https://normativ.kontur.ru/document?moduleId=1&amp;documentId=100557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normativ.kontur.ru/document?moduleId=1&amp;documentId=26458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normativ.kontur.ru/document?moduleId=1&amp;documentId=12242" TargetMode="External"/><Relationship Id="rId20" Type="http://schemas.openxmlformats.org/officeDocument/2006/relationships/hyperlink" Target="https://normativ.kontur.ru/document?moduleId=1&amp;documentId=36955" TargetMode="External"/><Relationship Id="rId29" Type="http://schemas.openxmlformats.org/officeDocument/2006/relationships/hyperlink" Target="https://normativ.kontur.ru/document?moduleId=1&amp;documentId=178702" TargetMode="External"/><Relationship Id="rId41" Type="http://schemas.openxmlformats.org/officeDocument/2006/relationships/hyperlink" Target="https://normativ.kontur.ru/document?moduleId=1&amp;documentId=193715" TargetMode="External"/><Relationship Id="rId54" Type="http://schemas.openxmlformats.org/officeDocument/2006/relationships/hyperlink" Target="https://normativ.kontur.ru/document?moduleId=1&amp;documentId=100557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215087" TargetMode="External"/><Relationship Id="rId11" Type="http://schemas.openxmlformats.org/officeDocument/2006/relationships/hyperlink" Target="https://normativ.kontur.ru/document?moduleId=1&amp;documentId=100413" TargetMode="External"/><Relationship Id="rId24" Type="http://schemas.openxmlformats.org/officeDocument/2006/relationships/hyperlink" Target="https://normativ.kontur.ru/document?moduleId=1&amp;documentId=46424" TargetMode="External"/><Relationship Id="rId32" Type="http://schemas.openxmlformats.org/officeDocument/2006/relationships/hyperlink" Target="https://normativ.kontur.ru/document?moduleId=1&amp;documentId=252658" TargetMode="External"/><Relationship Id="rId37" Type="http://schemas.openxmlformats.org/officeDocument/2006/relationships/hyperlink" Target="https://normativ.kontur.ru/document?moduleId=1&amp;documentId=206568" TargetMode="External"/><Relationship Id="rId40" Type="http://schemas.openxmlformats.org/officeDocument/2006/relationships/hyperlink" Target="https://normativ.kontur.ru/document?moduleId=1&amp;documentId=88548" TargetMode="External"/><Relationship Id="rId45" Type="http://schemas.openxmlformats.org/officeDocument/2006/relationships/hyperlink" Target="https://normativ.kontur.ru/document?moduleId=1&amp;documentId=274889" TargetMode="External"/><Relationship Id="rId53" Type="http://schemas.openxmlformats.org/officeDocument/2006/relationships/hyperlink" Target="https://normativ.kontur.ru/document?moduleId=1&amp;documentId=100557" TargetMode="External"/><Relationship Id="rId58" Type="http://schemas.openxmlformats.org/officeDocument/2006/relationships/hyperlink" Target="https://normativ.kontur.ru/document?moduleId=1&amp;documentId=101061" TargetMode="External"/><Relationship Id="rId5" Type="http://schemas.openxmlformats.org/officeDocument/2006/relationships/hyperlink" Target="https://normativ.kontur.ru/document?moduleId=1&amp;documentId=265333" TargetMode="External"/><Relationship Id="rId15" Type="http://schemas.openxmlformats.org/officeDocument/2006/relationships/hyperlink" Target="https://normativ.kontur.ru/document?moduleId=1&amp;documentId=13801" TargetMode="External"/><Relationship Id="rId23" Type="http://schemas.openxmlformats.org/officeDocument/2006/relationships/hyperlink" Target="https://normativ.kontur.ru/document?moduleId=1&amp;documentId=22818" TargetMode="External"/><Relationship Id="rId28" Type="http://schemas.openxmlformats.org/officeDocument/2006/relationships/hyperlink" Target="https://normativ.kontur.ru/document?moduleId=1&amp;documentId=215087" TargetMode="External"/><Relationship Id="rId36" Type="http://schemas.openxmlformats.org/officeDocument/2006/relationships/hyperlink" Target="https://normativ.kontur.ru/document?moduleId=1&amp;documentId=206568" TargetMode="External"/><Relationship Id="rId49" Type="http://schemas.openxmlformats.org/officeDocument/2006/relationships/hyperlink" Target="https://normativ.kontur.ru/document?moduleId=1&amp;documentId=225276" TargetMode="External"/><Relationship Id="rId57" Type="http://schemas.openxmlformats.org/officeDocument/2006/relationships/hyperlink" Target="https://normativ.kontur.ru/document?moduleId=1&amp;documentId=101061" TargetMode="External"/><Relationship Id="rId61" Type="http://schemas.openxmlformats.org/officeDocument/2006/relationships/hyperlink" Target="https://normativ.kontur.ru/document?moduleId=1&amp;documentId=101061" TargetMode="External"/><Relationship Id="rId10" Type="http://schemas.openxmlformats.org/officeDocument/2006/relationships/hyperlink" Target="https://normativ.kontur.ru/document?moduleId=1&amp;documentId=209042" TargetMode="External"/><Relationship Id="rId19" Type="http://schemas.openxmlformats.org/officeDocument/2006/relationships/hyperlink" Target="https://normativ.kontur.ru/document?moduleId=1&amp;documentId=38139" TargetMode="External"/><Relationship Id="rId31" Type="http://schemas.openxmlformats.org/officeDocument/2006/relationships/hyperlink" Target="https://normativ.kontur.ru/document?moduleId=1&amp;documentId=206569" TargetMode="External"/><Relationship Id="rId44" Type="http://schemas.openxmlformats.org/officeDocument/2006/relationships/hyperlink" Target="https://normativ.kontur.ru/document?moduleId=1&amp;documentId=101061" TargetMode="External"/><Relationship Id="rId52" Type="http://schemas.openxmlformats.org/officeDocument/2006/relationships/hyperlink" Target="https://normativ.kontur.ru/document?moduleId=1&amp;documentId=100557" TargetMode="External"/><Relationship Id="rId60" Type="http://schemas.openxmlformats.org/officeDocument/2006/relationships/hyperlink" Target="https://normativ.kontur.ru/document?moduleId=1&amp;documentId=1164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tiv.kontur.ru/document?moduleId=1&amp;documentId=215087" TargetMode="External"/><Relationship Id="rId14" Type="http://schemas.openxmlformats.org/officeDocument/2006/relationships/hyperlink" Target="https://normativ.kontur.ru/document?moduleId=1&amp;documentId=101061" TargetMode="External"/><Relationship Id="rId22" Type="http://schemas.openxmlformats.org/officeDocument/2006/relationships/hyperlink" Target="https://normativ.kontur.ru/document?moduleId=1&amp;documentId=8607" TargetMode="External"/><Relationship Id="rId27" Type="http://schemas.openxmlformats.org/officeDocument/2006/relationships/hyperlink" Target="https://normativ.kontur.ru/document?moduleId=1&amp;documentId=178702" TargetMode="External"/><Relationship Id="rId30" Type="http://schemas.openxmlformats.org/officeDocument/2006/relationships/hyperlink" Target="https://normativ.kontur.ru/document?moduleId=1&amp;documentId=215087" TargetMode="External"/><Relationship Id="rId35" Type="http://schemas.openxmlformats.org/officeDocument/2006/relationships/hyperlink" Target="https://normativ.kontur.ru/document?moduleId=1&amp;documentId=206572" TargetMode="External"/><Relationship Id="rId43" Type="http://schemas.openxmlformats.org/officeDocument/2006/relationships/hyperlink" Target="https://normativ.kontur.ru/document?moduleId=1&amp;documentId=101061" TargetMode="External"/><Relationship Id="rId48" Type="http://schemas.openxmlformats.org/officeDocument/2006/relationships/hyperlink" Target="https://normativ.kontur.ru/document?moduleId=1&amp;documentId=101061" TargetMode="External"/><Relationship Id="rId56" Type="http://schemas.openxmlformats.org/officeDocument/2006/relationships/hyperlink" Target="https://normativ.kontur.ru/document?moduleId=1&amp;documentId=101061" TargetMode="External"/><Relationship Id="rId8" Type="http://schemas.openxmlformats.org/officeDocument/2006/relationships/hyperlink" Target="https://normativ.kontur.ru/document?moduleId=1&amp;documentId=113304" TargetMode="External"/><Relationship Id="rId51" Type="http://schemas.openxmlformats.org/officeDocument/2006/relationships/hyperlink" Target="https://normativ.kontur.ru/document?moduleId=1&amp;documentId=100557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normativ.kontur.ru/document?moduleId=1&amp;documentId=209042" TargetMode="External"/><Relationship Id="rId17" Type="http://schemas.openxmlformats.org/officeDocument/2006/relationships/hyperlink" Target="https://normativ.kontur.ru/document?moduleId=1&amp;documentId=37428" TargetMode="External"/><Relationship Id="rId25" Type="http://schemas.openxmlformats.org/officeDocument/2006/relationships/hyperlink" Target="https://normativ.kontur.ru/document?moduleId=1&amp;documentId=31694" TargetMode="External"/><Relationship Id="rId33" Type="http://schemas.openxmlformats.org/officeDocument/2006/relationships/hyperlink" Target="https://normativ.kontur.ru/document?moduleId=1&amp;documentId=169354" TargetMode="External"/><Relationship Id="rId38" Type="http://schemas.openxmlformats.org/officeDocument/2006/relationships/hyperlink" Target="https://normativ.kontur.ru/document?moduleId=1&amp;documentId=206575" TargetMode="External"/><Relationship Id="rId46" Type="http://schemas.openxmlformats.org/officeDocument/2006/relationships/hyperlink" Target="https://normativ.kontur.ru/document?moduleId=1&amp;documentId=178702" TargetMode="External"/><Relationship Id="rId59" Type="http://schemas.openxmlformats.org/officeDocument/2006/relationships/hyperlink" Target="https://normativ.kontur.ru/document?moduleId=1&amp;documentId=2065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5843</Words>
  <Characters>33308</Characters>
  <Application>Microsoft Office Word</Application>
  <DocSecurity>0</DocSecurity>
  <Lines>277</Lines>
  <Paragraphs>78</Paragraphs>
  <ScaleCrop>false</ScaleCrop>
  <Company>Home</Company>
  <LinksUpToDate>false</LinksUpToDate>
  <CharactersWithSpaces>39073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2</cp:revision>
  <dcterms:created xsi:type="dcterms:W3CDTF">2017-03-22T14:25:00Z</dcterms:created>
  <dcterms:modified xsi:type="dcterms:W3CDTF">2017-03-22T14:25:00Z</dcterms:modified>
</cp:coreProperties>
</file>