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B67DCC">
      <w:pPr>
        <w:pStyle w:val="ConsPlusNormal"/>
        <w:ind w:firstLine="540"/>
        <w:jc w:val="both"/>
        <w:outlineLvl w:val="0"/>
      </w:pPr>
    </w:p>
    <w:p w:rsidR="00000000" w:rsidRDefault="00B67DCC">
      <w:pPr>
        <w:pStyle w:val="ConsPlusNormal"/>
        <w:ind w:firstLine="540"/>
        <w:jc w:val="both"/>
      </w:pPr>
      <w:r>
        <w:rPr>
          <w:b/>
          <w:bCs/>
        </w:rPr>
        <w:t>Вопрос:</w:t>
      </w:r>
      <w:r>
        <w:t xml:space="preserve"> О представлении расчета по страховым взносам при отсутствии выплат в пользу физлиц, его составе и порядке заполнения.</w:t>
      </w:r>
    </w:p>
    <w:p w:rsidR="00000000" w:rsidRDefault="00B67DCC">
      <w:pPr>
        <w:pStyle w:val="ConsPlusNormal"/>
        <w:ind w:firstLine="540"/>
        <w:jc w:val="both"/>
      </w:pPr>
    </w:p>
    <w:p w:rsidR="00000000" w:rsidRDefault="00B67DCC">
      <w:pPr>
        <w:pStyle w:val="ConsPlusNormal"/>
        <w:ind w:firstLine="540"/>
        <w:jc w:val="both"/>
      </w:pPr>
      <w:r>
        <w:rPr>
          <w:b/>
          <w:bCs/>
        </w:rPr>
        <w:t>Ответ:</w:t>
      </w:r>
    </w:p>
    <w:p w:rsidR="00000000" w:rsidRDefault="00B67DCC">
      <w:pPr>
        <w:pStyle w:val="ConsPlusTitle"/>
        <w:jc w:val="center"/>
      </w:pPr>
      <w:r>
        <w:t>МИН</w:t>
      </w:r>
      <w:r>
        <w:t>ИСТЕРСТВО ФИНАНСОВ РОССИЙСКОЙ ФЕДЕРАЦИИ</w:t>
      </w:r>
    </w:p>
    <w:p w:rsidR="00000000" w:rsidRDefault="00B67DCC">
      <w:pPr>
        <w:pStyle w:val="ConsPlusTitle"/>
        <w:jc w:val="center"/>
      </w:pPr>
    </w:p>
    <w:p w:rsidR="00000000" w:rsidRDefault="00B67DCC">
      <w:pPr>
        <w:pStyle w:val="ConsPlusTitle"/>
        <w:jc w:val="center"/>
      </w:pPr>
      <w:r>
        <w:t>ФЕДЕРАЛЬНАЯ НАЛОГОВАЯ СЛУЖБА</w:t>
      </w:r>
    </w:p>
    <w:p w:rsidR="00000000" w:rsidRDefault="00B67DCC">
      <w:pPr>
        <w:pStyle w:val="ConsPlusTitle"/>
        <w:jc w:val="center"/>
      </w:pPr>
    </w:p>
    <w:p w:rsidR="00000000" w:rsidRDefault="00B67DCC">
      <w:pPr>
        <w:pStyle w:val="ConsPlusTitle"/>
        <w:jc w:val="center"/>
      </w:pPr>
      <w:r>
        <w:t>ПИСЬМО</w:t>
      </w:r>
    </w:p>
    <w:p w:rsidR="00000000" w:rsidRDefault="00B67DCC">
      <w:pPr>
        <w:pStyle w:val="ConsPlusTitle"/>
        <w:jc w:val="center"/>
      </w:pPr>
      <w:r>
        <w:t>от 12 апреля 2017 г. N БС-4-11/6940@</w:t>
      </w:r>
    </w:p>
    <w:p w:rsidR="00000000" w:rsidRDefault="00B67DCC">
      <w:pPr>
        <w:pStyle w:val="ConsPlusNormal"/>
        <w:ind w:firstLine="540"/>
        <w:jc w:val="both"/>
      </w:pPr>
    </w:p>
    <w:p w:rsidR="00000000" w:rsidRDefault="00B67DCC">
      <w:pPr>
        <w:pStyle w:val="ConsPlusNormal"/>
        <w:ind w:firstLine="540"/>
        <w:jc w:val="both"/>
      </w:pPr>
      <w:r>
        <w:t>Федеральная налоговая служба рассмотрела интернет-обращение по вопросу заполнения расчета по страховым взносам и сообщает следующее.</w:t>
      </w:r>
    </w:p>
    <w:p w:rsidR="00000000" w:rsidRDefault="00B67DCC">
      <w:pPr>
        <w:pStyle w:val="ConsPlusNormal"/>
        <w:ind w:firstLine="540"/>
        <w:jc w:val="both"/>
      </w:pPr>
      <w:r>
        <w:t>Пунктом 7 статьи 431 Налогового кодекса Российской Федерации (далее - Кодекс) предусмотрена обязанность плательщиков страховых взносов, производящих выплаты и иные вознаграждения физическим лицам, представлять в установленном порядке расчет по страховым вз</w:t>
      </w:r>
      <w:r>
        <w:t>носам (далее - Расчет) не позднее 30-го числа месяца, следующего за расчетным (отчетным) периодом, в частности, в налоговый орган по месту нахождения организации.</w:t>
      </w:r>
    </w:p>
    <w:p w:rsidR="00000000" w:rsidRDefault="00B67DCC">
      <w:pPr>
        <w:pStyle w:val="ConsPlusNormal"/>
        <w:ind w:firstLine="540"/>
        <w:jc w:val="both"/>
      </w:pPr>
      <w:r>
        <w:t>Кодексом не предусмотрено освобождение от исполнения обязанности плательщика страховых взносо</w:t>
      </w:r>
      <w:r>
        <w:t>в по представлению Расчетов в случае неосуществления организацией финансово-хозяйственной деятельности.</w:t>
      </w:r>
    </w:p>
    <w:p w:rsidR="00000000" w:rsidRDefault="00B67DCC">
      <w:pPr>
        <w:pStyle w:val="ConsPlusNormal"/>
        <w:ind w:firstLine="540"/>
        <w:jc w:val="both"/>
      </w:pPr>
      <w:r>
        <w:t>Таким образом, в случае отсутствия у плательщика страховых взносов - организаций выплат и иных вознаграждений в пользу физических лиц в течение того или</w:t>
      </w:r>
      <w:r>
        <w:t xml:space="preserve"> иного расчетного (отчетного) периода плательщик обязан представить в налоговый орган в установленный законодательством Российской Федерации о налогах и сборах срок Расчет с нулевыми показателями.</w:t>
      </w:r>
    </w:p>
    <w:p w:rsidR="00000000" w:rsidRDefault="00B67DCC">
      <w:pPr>
        <w:pStyle w:val="ConsPlusNormal"/>
        <w:ind w:firstLine="540"/>
        <w:jc w:val="both"/>
      </w:pPr>
      <w:r>
        <w:t>Данная позиция согласована с Министерством финансов Российс</w:t>
      </w:r>
      <w:r>
        <w:t>кой Федерации.</w:t>
      </w:r>
    </w:p>
    <w:p w:rsidR="00000000" w:rsidRDefault="00B67DCC">
      <w:pPr>
        <w:pStyle w:val="ConsPlusNormal"/>
        <w:ind w:firstLine="540"/>
        <w:jc w:val="both"/>
      </w:pPr>
      <w:r>
        <w:t>Порядок заполнения Расчета утвержден приказом ФНС России от 10.10.2016 N ММВ-7-11/511@.</w:t>
      </w:r>
    </w:p>
    <w:p w:rsidR="00000000" w:rsidRDefault="00B67DCC">
      <w:pPr>
        <w:pStyle w:val="ConsPlusNormal"/>
        <w:ind w:firstLine="540"/>
        <w:jc w:val="both"/>
      </w:pPr>
      <w:r>
        <w:t>Вне зависимости от осуществляемой деятельности плательщики страховых взносов должны включить в состав Расчета в соответствии с порядком заполнения:</w:t>
      </w:r>
    </w:p>
    <w:p w:rsidR="00000000" w:rsidRDefault="00B67DCC">
      <w:pPr>
        <w:pStyle w:val="ConsPlusNormal"/>
        <w:ind w:firstLine="540"/>
        <w:jc w:val="both"/>
      </w:pPr>
      <w:r>
        <w:t>- тит</w:t>
      </w:r>
      <w:r>
        <w:t>ульный лист;</w:t>
      </w:r>
    </w:p>
    <w:p w:rsidR="00000000" w:rsidRDefault="00B67DCC">
      <w:pPr>
        <w:pStyle w:val="ConsPlusNormal"/>
        <w:ind w:firstLine="540"/>
        <w:jc w:val="both"/>
      </w:pPr>
      <w:r>
        <w:t>- раздел 1 "Сводные данные об обязательствах плательщика страховых взносов;</w:t>
      </w:r>
    </w:p>
    <w:p w:rsidR="00000000" w:rsidRDefault="00B67DCC">
      <w:pPr>
        <w:pStyle w:val="ConsPlusNormal"/>
        <w:ind w:firstLine="540"/>
        <w:jc w:val="both"/>
      </w:pPr>
      <w:r>
        <w:t>- подраздел 1.1 "Расчет сумм страховых взносов на обязательное пенсионное страхование" и подраздел 1.2 "Расчет сумм страховых взносов на обязательное медицинское страх</w:t>
      </w:r>
      <w:r>
        <w:t>ование" приложения 1 к разделу 1;</w:t>
      </w:r>
    </w:p>
    <w:p w:rsidR="00000000" w:rsidRDefault="00B67DCC">
      <w:pPr>
        <w:pStyle w:val="ConsPlusNormal"/>
        <w:ind w:firstLine="540"/>
        <w:jc w:val="both"/>
      </w:pPr>
      <w:r>
        <w:t>- приложение 2 "Расчет сумм страховых взносов на обязательное социальное страхование на случай временной нетрудоспособности и в связи с материнством" к разделу 1;</w:t>
      </w:r>
    </w:p>
    <w:p w:rsidR="00000000" w:rsidRDefault="00B67DCC">
      <w:pPr>
        <w:pStyle w:val="ConsPlusNormal"/>
        <w:ind w:firstLine="540"/>
        <w:jc w:val="both"/>
      </w:pPr>
      <w:r>
        <w:t>- раздел 3 "Персонифицированные сведения о застрахованных л</w:t>
      </w:r>
      <w:r>
        <w:t>ицах".</w:t>
      </w:r>
    </w:p>
    <w:p w:rsidR="00000000" w:rsidRDefault="00B67DCC">
      <w:pPr>
        <w:pStyle w:val="ConsPlusNormal"/>
        <w:ind w:firstLine="540"/>
        <w:jc w:val="both"/>
      </w:pPr>
      <w:r>
        <w:t xml:space="preserve">Дополнительно сообщаем, что согласно пункту 2.20 порядка заполнения Расчета в случае отсутствия какого-либо показателя количественные и суммовые показатели заполняются значением "0" ("ноль"), в остальных случаях во всех знакоместах соответствующего </w:t>
      </w:r>
      <w:r>
        <w:t>поля проставляется прочерк.</w:t>
      </w:r>
    </w:p>
    <w:p w:rsidR="00000000" w:rsidRDefault="00B67DCC">
      <w:pPr>
        <w:pStyle w:val="ConsPlusNormal"/>
        <w:ind w:firstLine="540"/>
        <w:jc w:val="both"/>
      </w:pPr>
    </w:p>
    <w:p w:rsidR="00000000" w:rsidRDefault="00B67DCC">
      <w:pPr>
        <w:pStyle w:val="ConsPlusNormal"/>
        <w:jc w:val="right"/>
      </w:pPr>
      <w:r>
        <w:t>Действительный</w:t>
      </w:r>
    </w:p>
    <w:p w:rsidR="00000000" w:rsidRDefault="00B67DCC">
      <w:pPr>
        <w:pStyle w:val="ConsPlusNormal"/>
        <w:jc w:val="right"/>
      </w:pPr>
      <w:r>
        <w:t>государственный советник</w:t>
      </w:r>
    </w:p>
    <w:p w:rsidR="00000000" w:rsidRDefault="00B67DCC">
      <w:pPr>
        <w:pStyle w:val="ConsPlusNormal"/>
        <w:jc w:val="right"/>
      </w:pPr>
      <w:r>
        <w:t>Российской Федерации</w:t>
      </w:r>
    </w:p>
    <w:p w:rsidR="00000000" w:rsidRDefault="00B67DCC">
      <w:pPr>
        <w:pStyle w:val="ConsPlusNormal"/>
        <w:jc w:val="right"/>
      </w:pPr>
      <w:r>
        <w:t>2 класса</w:t>
      </w:r>
    </w:p>
    <w:p w:rsidR="00000000" w:rsidRDefault="00B67DCC">
      <w:pPr>
        <w:pStyle w:val="ConsPlusNormal"/>
        <w:jc w:val="right"/>
      </w:pPr>
      <w:r>
        <w:t>С.Л.БОНДАРЧУК</w:t>
      </w:r>
    </w:p>
    <w:p w:rsidR="00000000" w:rsidRDefault="00B67DCC">
      <w:pPr>
        <w:pStyle w:val="ConsPlusNormal"/>
      </w:pPr>
      <w:r>
        <w:t>12.04.2017</w:t>
      </w:r>
    </w:p>
    <w:p w:rsidR="00000000" w:rsidRDefault="00B67DCC">
      <w:pPr>
        <w:pStyle w:val="ConsPlusNormal"/>
        <w:ind w:firstLine="540"/>
        <w:jc w:val="both"/>
      </w:pPr>
    </w:p>
    <w:p w:rsidR="00000000" w:rsidRDefault="00B67DCC">
      <w:pPr>
        <w:pStyle w:val="ConsPlusNormal"/>
        <w:ind w:firstLine="540"/>
        <w:jc w:val="both"/>
      </w:pPr>
    </w:p>
    <w:p w:rsidR="00B67DCC" w:rsidRDefault="00B67DCC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B67DCC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440" w:right="566" w:bottom="1440" w:left="1133" w:header="0" w:footer="0" w:gutter="0"/>
      <w:cols w:space="720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7DCC" w:rsidRDefault="00B67DCC">
      <w:pPr>
        <w:spacing w:after="0" w:line="240" w:lineRule="auto"/>
      </w:pPr>
      <w:r>
        <w:separator/>
      </w:r>
    </w:p>
  </w:endnote>
  <w:endnote w:type="continuationSeparator" w:id="0">
    <w:p w:rsidR="00B67DCC" w:rsidRDefault="00B67D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B67DCC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tbl>
    <w:tblPr>
      <w:tblW w:w="0" w:type="auto"/>
      <w:tblCellSpacing w:w="5" w:type="nil"/>
      <w:tblInd w:w="40" w:type="dxa"/>
      <w:tblCellMar>
        <w:left w:w="40" w:type="dxa"/>
        <w:right w:w="40" w:type="dxa"/>
      </w:tblCellMar>
      <w:tblLook w:val="0000"/>
    </w:tblPr>
    <w:tblGrid>
      <w:gridCol w:w="3346"/>
      <w:gridCol w:w="3555"/>
      <w:gridCol w:w="3346"/>
    </w:tblGrid>
    <w:tr w:rsidR="00000000">
      <w:tblPrEx>
        <w:tblCellMar>
          <w:top w:w="0" w:type="dxa"/>
          <w:bottom w:w="0" w:type="dxa"/>
        </w:tblCellMar>
      </w:tblPrEx>
      <w:trPr>
        <w:trHeight w:hRule="exact" w:val="1663"/>
        <w:tblCellSpacing w:w="5" w:type="nil"/>
      </w:trPr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B67DCC">
          <w:pPr>
            <w:pStyle w:val="ConsPlusNormal"/>
            <w:rPr>
              <w:b/>
              <w:bCs/>
              <w:color w:val="333399"/>
              <w:sz w:val="28"/>
              <w:szCs w:val="28"/>
            </w:rPr>
          </w:pPr>
          <w:r>
            <w:rPr>
              <w:b/>
              <w:bCs/>
              <w:color w:val="333399"/>
              <w:sz w:val="28"/>
              <w:szCs w:val="28"/>
            </w:rPr>
            <w:t>КонсультантПлюс</w:t>
          </w:r>
          <w:r>
            <w:rPr>
              <w:b/>
              <w:bCs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B67DCC">
          <w:pPr>
            <w:pStyle w:val="ConsPlusNormal"/>
            <w:jc w:val="center"/>
            <w:rPr>
              <w:b/>
              <w:bCs/>
            </w:rPr>
          </w:pPr>
          <w:hyperlink r:id="rId1" w:history="1">
            <w:r>
              <w:rPr>
                <w:b/>
                <w:bCs/>
                <w:color w:val="0000FF"/>
              </w:rPr>
              <w:t>www.consultant.ru</w:t>
            </w:r>
          </w:hyperlink>
        </w:p>
      </w:tc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B67DCC">
          <w:pPr>
            <w:pStyle w:val="ConsPlusNormal"/>
            <w:jc w:val="right"/>
          </w:pPr>
          <w:r>
            <w:t xml:space="preserve">Страница </w:t>
          </w:r>
          <w:r>
            <w:fldChar w:fldCharType="begin"/>
          </w:r>
          <w:r>
            <w:instrText>\PAGE</w:instrText>
          </w:r>
          <w:r>
            <w:fldChar w:fldCharType="end"/>
          </w:r>
          <w:r>
            <w:t xml:space="preserve"> из </w:t>
          </w:r>
          <w:r>
            <w:fldChar w:fldCharType="begin"/>
          </w:r>
          <w:r>
            <w:instrText>\NUMPAGES</w:instrText>
          </w:r>
          <w:r>
            <w:fldChar w:fldCharType="end"/>
          </w:r>
        </w:p>
      </w:tc>
    </w:tr>
  </w:tbl>
  <w:p w:rsidR="00000000" w:rsidRDefault="00B67DCC">
    <w:pPr>
      <w:pStyle w:val="ConsPlusNormal"/>
      <w:rPr>
        <w:sz w:val="2"/>
        <w:szCs w:val="2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B67DCC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tbl>
    <w:tblPr>
      <w:tblW w:w="0" w:type="auto"/>
      <w:tblCellSpacing w:w="5" w:type="nil"/>
      <w:tblInd w:w="40" w:type="dxa"/>
      <w:tblCellMar>
        <w:left w:w="40" w:type="dxa"/>
        <w:right w:w="40" w:type="dxa"/>
      </w:tblCellMar>
      <w:tblLook w:val="0000"/>
    </w:tblPr>
    <w:tblGrid>
      <w:gridCol w:w="3346"/>
      <w:gridCol w:w="3555"/>
      <w:gridCol w:w="3346"/>
    </w:tblGrid>
    <w:tr w:rsidR="00000000">
      <w:tblPrEx>
        <w:tblCellMar>
          <w:top w:w="0" w:type="dxa"/>
          <w:bottom w:w="0" w:type="dxa"/>
        </w:tblCellMar>
      </w:tblPrEx>
      <w:trPr>
        <w:trHeight w:hRule="exact" w:val="1663"/>
        <w:tblCellSpacing w:w="5" w:type="nil"/>
      </w:trPr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B67DCC">
          <w:pPr>
            <w:pStyle w:val="ConsPlusNormal"/>
            <w:rPr>
              <w:b/>
              <w:bCs/>
              <w:color w:val="333399"/>
              <w:sz w:val="28"/>
              <w:szCs w:val="28"/>
            </w:rPr>
          </w:pPr>
          <w:r>
            <w:rPr>
              <w:b/>
              <w:bCs/>
              <w:color w:val="333399"/>
              <w:sz w:val="28"/>
              <w:szCs w:val="28"/>
            </w:rPr>
            <w:t>КонсультантПлюс</w:t>
          </w:r>
          <w:r>
            <w:rPr>
              <w:b/>
              <w:bCs/>
              <w:sz w:val="16"/>
              <w:szCs w:val="16"/>
            </w:rPr>
            <w:br/>
          </w:r>
          <w:r>
            <w:rPr>
              <w:b/>
              <w:bCs/>
              <w:sz w:val="16"/>
              <w:szCs w:val="16"/>
            </w:rPr>
            <w:t>надежная правовая поддержка</w:t>
          </w:r>
        </w:p>
      </w:tc>
      <w:tc>
        <w:tcPr>
          <w:tcW w:w="1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B67DCC">
          <w:pPr>
            <w:pStyle w:val="ConsPlusNormal"/>
            <w:jc w:val="center"/>
            <w:rPr>
              <w:b/>
              <w:bCs/>
            </w:rPr>
          </w:pPr>
          <w:hyperlink r:id="rId1" w:history="1">
            <w:r>
              <w:rPr>
                <w:b/>
                <w:bCs/>
                <w:color w:val="0000FF"/>
              </w:rPr>
              <w:t>www.consultant.ru</w:t>
            </w:r>
          </w:hyperlink>
        </w:p>
      </w:tc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B67DCC">
          <w:pPr>
            <w:pStyle w:val="ConsPlusNormal"/>
            <w:jc w:val="right"/>
          </w:pPr>
          <w:r>
            <w:t xml:space="preserve">Страница </w:t>
          </w:r>
          <w:r>
            <w:fldChar w:fldCharType="begin"/>
          </w:r>
          <w:r>
            <w:instrText>\PAGE</w:instrText>
          </w:r>
          <w:r w:rsidR="00F57CDC">
            <w:fldChar w:fldCharType="separate"/>
          </w:r>
          <w:r w:rsidR="00F57CDC">
            <w:rPr>
              <w:noProof/>
            </w:rPr>
            <w:t>1</w:t>
          </w:r>
          <w:r>
            <w:fldChar w:fldCharType="end"/>
          </w:r>
          <w:r>
            <w:t xml:space="preserve"> из </w:t>
          </w:r>
          <w:r>
            <w:fldChar w:fldCharType="begin"/>
          </w:r>
          <w:r>
            <w:instrText>\NUMPAGES</w:instrText>
          </w:r>
          <w:r w:rsidR="00F57CDC">
            <w:fldChar w:fldCharType="separate"/>
          </w:r>
          <w:r w:rsidR="00F57CDC">
            <w:rPr>
              <w:noProof/>
            </w:rPr>
            <w:t>1</w:t>
          </w:r>
          <w:r>
            <w:fldChar w:fldCharType="end"/>
          </w:r>
        </w:p>
      </w:tc>
    </w:tr>
  </w:tbl>
  <w:p w:rsidR="00000000" w:rsidRDefault="00B67DCC">
    <w:pPr>
      <w:pStyle w:val="ConsPlusNormal"/>
      <w:rPr>
        <w:sz w:val="2"/>
        <w:szCs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7DCC" w:rsidRDefault="00B67DCC">
      <w:pPr>
        <w:spacing w:after="0" w:line="240" w:lineRule="auto"/>
      </w:pPr>
      <w:r>
        <w:separator/>
      </w:r>
    </w:p>
  </w:footnote>
  <w:footnote w:type="continuationSeparator" w:id="0">
    <w:p w:rsidR="00B67DCC" w:rsidRDefault="00B67D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CellSpacing w:w="5" w:type="nil"/>
      <w:tblInd w:w="40" w:type="dxa"/>
      <w:tblCellMar>
        <w:left w:w="40" w:type="dxa"/>
        <w:right w:w="40" w:type="dxa"/>
      </w:tblCellMar>
      <w:tblLook w:val="0000"/>
    </w:tblPr>
    <w:tblGrid>
      <w:gridCol w:w="5646"/>
      <w:gridCol w:w="418"/>
      <w:gridCol w:w="4183"/>
    </w:tblGrid>
    <w:tr w:rsidR="00000000">
      <w:tblPrEx>
        <w:tblCellMar>
          <w:top w:w="0" w:type="dxa"/>
          <w:bottom w:w="0" w:type="dxa"/>
        </w:tblCellMar>
      </w:tblPrEx>
      <w:trPr>
        <w:trHeight w:hRule="exact" w:val="1683"/>
        <w:tblCellSpacing w:w="5" w:type="nil"/>
      </w:trPr>
      <w:tc>
        <w:tcPr>
          <w:tcW w:w="2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B67DCC">
          <w:pPr>
            <w:pStyle w:val="ConsPlusNormal"/>
            <w:rPr>
              <w:sz w:val="16"/>
              <w:szCs w:val="16"/>
            </w:rPr>
          </w:pPr>
          <w:r>
            <w:rPr>
              <w:sz w:val="16"/>
              <w:szCs w:val="16"/>
            </w:rPr>
            <w:t>Вопрос: О представлении расчета по страховым взносам при отсутствии выплат в пользу физлиц, его составе и порядке заполн...</w:t>
          </w:r>
        </w:p>
      </w:tc>
      <w:tc>
        <w:tcPr>
          <w:tcW w:w="2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B67DCC">
          <w:pPr>
            <w:pStyle w:val="ConsPlusNormal"/>
            <w:jc w:val="center"/>
            <w:rPr>
              <w:sz w:val="24"/>
              <w:szCs w:val="24"/>
            </w:rPr>
          </w:pPr>
        </w:p>
        <w:p w:rsidR="00000000" w:rsidRDefault="00B67DCC">
          <w:pPr>
            <w:pStyle w:val="ConsPlusNormal"/>
            <w:jc w:val="center"/>
            <w:rPr>
              <w:sz w:val="24"/>
              <w:szCs w:val="24"/>
            </w:rPr>
          </w:pPr>
        </w:p>
      </w:tc>
      <w:tc>
        <w:tcPr>
          <w:tcW w:w="2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B67DCC">
          <w:pPr>
            <w:pStyle w:val="ConsPlusNormal"/>
            <w:jc w:val="right"/>
            <w:rPr>
              <w:sz w:val="16"/>
              <w:szCs w:val="16"/>
            </w:rPr>
          </w:pPr>
          <w:r>
            <w:rPr>
              <w:sz w:val="18"/>
              <w:szCs w:val="18"/>
            </w:rPr>
            <w:t xml:space="preserve">Документ предоставлен </w:t>
          </w:r>
          <w:hyperlink r:id="rId1" w:history="1">
            <w:r>
              <w:rPr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sz w:val="18"/>
              <w:szCs w:val="18"/>
            </w:rPr>
            <w:br/>
          </w:r>
          <w:r>
            <w:rPr>
              <w:sz w:val="16"/>
              <w:szCs w:val="16"/>
            </w:rPr>
            <w:t>Дата сохранения: 20.04.2017</w:t>
          </w:r>
        </w:p>
      </w:tc>
    </w:tr>
  </w:tbl>
  <w:p w:rsidR="00000000" w:rsidRDefault="00B67DCC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p w:rsidR="00000000" w:rsidRDefault="00B67DCC">
    <w:pPr>
      <w:pStyle w:val="ConsPlusNormal"/>
    </w:pPr>
    <w:r>
      <w:rPr>
        <w:sz w:val="10"/>
        <w:szCs w:val="10"/>
      </w:rPr>
      <w:t xml:space="preserve"> 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CellSpacing w:w="5" w:type="nil"/>
      <w:tblInd w:w="40" w:type="dxa"/>
      <w:tblCellMar>
        <w:left w:w="40" w:type="dxa"/>
        <w:right w:w="40" w:type="dxa"/>
      </w:tblCellMar>
      <w:tblLook w:val="0000"/>
    </w:tblPr>
    <w:tblGrid>
      <w:gridCol w:w="5646"/>
      <w:gridCol w:w="418"/>
      <w:gridCol w:w="4183"/>
    </w:tblGrid>
    <w:tr w:rsidR="00000000">
      <w:tblPrEx>
        <w:tblCellMar>
          <w:top w:w="0" w:type="dxa"/>
          <w:bottom w:w="0" w:type="dxa"/>
        </w:tblCellMar>
      </w:tblPrEx>
      <w:trPr>
        <w:trHeight w:hRule="exact" w:val="1683"/>
        <w:tblCellSpacing w:w="5" w:type="nil"/>
      </w:trPr>
      <w:tc>
        <w:tcPr>
          <w:tcW w:w="2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F57CDC">
          <w:pPr>
            <w:pStyle w:val="ConsPlusNormal"/>
            <w:rPr>
              <w:sz w:val="24"/>
              <w:szCs w:val="24"/>
            </w:rPr>
          </w:pPr>
          <w:r>
            <w:rPr>
              <w:noProof/>
              <w:sz w:val="24"/>
              <w:szCs w:val="24"/>
            </w:rPr>
            <w:drawing>
              <wp:inline distT="0" distB="0" distL="0" distR="0">
                <wp:extent cx="1905000" cy="447675"/>
                <wp:effectExtent l="19050" t="0" r="0" b="0"/>
                <wp:docPr id="2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05000" cy="4476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000000" w:rsidRDefault="00B67DCC">
          <w:pPr>
            <w:pStyle w:val="ConsPlusNormal"/>
            <w:rPr>
              <w:sz w:val="16"/>
              <w:szCs w:val="16"/>
            </w:rPr>
          </w:pPr>
          <w:r>
            <w:rPr>
              <w:sz w:val="16"/>
              <w:szCs w:val="16"/>
            </w:rPr>
            <w:t>Вопрос: О представлении расчета по страховым взносам при отсутствии выплат в пользу физлиц, его составе и порядке заполн...</w:t>
          </w:r>
        </w:p>
      </w:tc>
      <w:tc>
        <w:tcPr>
          <w:tcW w:w="2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B67DCC">
          <w:pPr>
            <w:pStyle w:val="ConsPlusNormal"/>
            <w:jc w:val="center"/>
            <w:rPr>
              <w:sz w:val="24"/>
              <w:szCs w:val="24"/>
            </w:rPr>
          </w:pPr>
        </w:p>
        <w:p w:rsidR="00000000" w:rsidRDefault="00B67DCC">
          <w:pPr>
            <w:pStyle w:val="ConsPlusNormal"/>
            <w:jc w:val="center"/>
            <w:rPr>
              <w:sz w:val="24"/>
              <w:szCs w:val="24"/>
            </w:rPr>
          </w:pPr>
        </w:p>
      </w:tc>
      <w:tc>
        <w:tcPr>
          <w:tcW w:w="2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B67DCC">
          <w:pPr>
            <w:pStyle w:val="ConsPlusNormal"/>
            <w:jc w:val="right"/>
            <w:rPr>
              <w:sz w:val="16"/>
              <w:szCs w:val="16"/>
            </w:rPr>
          </w:pPr>
          <w:r>
            <w:rPr>
              <w:sz w:val="18"/>
              <w:szCs w:val="18"/>
            </w:rPr>
            <w:t xml:space="preserve">Документ предоставлен </w:t>
          </w:r>
          <w:hyperlink r:id="rId2" w:history="1">
            <w:r>
              <w:rPr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sz w:val="18"/>
              <w:szCs w:val="18"/>
            </w:rPr>
            <w:br/>
          </w:r>
          <w:r>
            <w:rPr>
              <w:sz w:val="16"/>
              <w:szCs w:val="16"/>
            </w:rPr>
            <w:t>Дата сохранения: 20.04.2017</w:t>
          </w:r>
        </w:p>
      </w:tc>
    </w:tr>
  </w:tbl>
  <w:p w:rsidR="00000000" w:rsidRDefault="00B67DCC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p w:rsidR="00000000" w:rsidRDefault="00B67DCC">
    <w:pPr>
      <w:pStyle w:val="ConsPlusNormal"/>
    </w:pPr>
    <w:r>
      <w:rPr>
        <w:sz w:val="10"/>
        <w:szCs w:val="10"/>
      </w:rPr>
      <w:t xml:space="preserve">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writeProtection w:recommended="1"/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</w:compat>
  <w:rsids>
    <w:rsidRoot w:val="000D6023"/>
    <w:rsid w:val="000D6023"/>
    <w:rsid w:val="00B67DCC"/>
    <w:rsid w:val="00F57C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16"/>
      <w:szCs w:val="16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18"/>
      <w:szCs w:val="18"/>
    </w:rPr>
  </w:style>
  <w:style w:type="paragraph" w:customStyle="1" w:styleId="ConsPlusTitlePage">
    <w:name w:val="ConsPlusTitlePag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0"/>
      <w:szCs w:val="20"/>
    </w:rPr>
  </w:style>
  <w:style w:type="paragraph" w:customStyle="1" w:styleId="ConsPlusJurTerm">
    <w:name w:val="ConsPlusJurTerm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TextList">
    <w:name w:val="ConsPlusText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TextList1">
    <w:name w:val="ConsPlusTextList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nsultant.ru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nsultant.ru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onsultant.ru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382</Words>
  <Characters>2180</Characters>
  <Application>Microsoft Office Word</Application>
  <DocSecurity>2</DocSecurity>
  <Lines>18</Lines>
  <Paragraphs>5</Paragraphs>
  <ScaleCrop>false</ScaleCrop>
  <Company>КонсультантПлюс Версия 4016.00.30</Company>
  <LinksUpToDate>false</LinksUpToDate>
  <CharactersWithSpaces>2557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Вопрос: О представлении расчета по страховым взносам при отсутствии выплат в пользу физлиц, его составе и порядке заполнения.(Письмо ФНС России от 12.04.2017 N БС-4-11/6940@)</dc:title>
  <dc:creator>sobolevskaya</dc:creator>
  <cp:lastModifiedBy>sobolevskaya</cp:lastModifiedBy>
  <cp:revision>2</cp:revision>
  <dcterms:created xsi:type="dcterms:W3CDTF">2017-04-21T10:21:00Z</dcterms:created>
  <dcterms:modified xsi:type="dcterms:W3CDTF">2017-04-21T10:21:00Z</dcterms:modified>
</cp:coreProperties>
</file>