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11"/>
      </w:tblGrid>
      <w:tr w:rsidR="009F2FA2" w:rsidRPr="009F2FA2" w:rsidTr="009F2FA2">
        <w:tc>
          <w:tcPr>
            <w:tcW w:w="0" w:type="auto"/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9F2FA2" w:rsidRPr="009F2FA2" w:rsidRDefault="009F2FA2" w:rsidP="009F2FA2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F2FA2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Вопрос:</w:t>
            </w:r>
            <w:r w:rsidRPr="009F2FA2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 помощью какого документа регистрируется учет таможенных платежей в "1С</w:t>
            </w:r>
            <w:proofErr w:type="gramStart"/>
            <w:r w:rsidRPr="009F2FA2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:Б</w:t>
            </w:r>
            <w:proofErr w:type="gramEnd"/>
            <w:r w:rsidRPr="009F2FA2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ухгалтерии 8" (ред. 3.0)?</w:t>
            </w:r>
          </w:p>
        </w:tc>
      </w:tr>
    </w:tbl>
    <w:p w:rsidR="009F2FA2" w:rsidRPr="009F2FA2" w:rsidRDefault="009F2FA2" w:rsidP="009F2FA2">
      <w:pPr>
        <w:shd w:val="clear" w:color="auto" w:fill="F8F8F8"/>
        <w:autoSpaceDE w:val="0"/>
        <w:autoSpaceDN w:val="0"/>
        <w:spacing w:after="0" w:line="240" w:lineRule="auto"/>
        <w:rPr>
          <w:rFonts w:ascii="Verdana" w:eastAsia="Times New Roman" w:hAnsi="Verdana" w:cs="Times New Roman"/>
          <w:color w:val="606060"/>
          <w:sz w:val="16"/>
          <w:szCs w:val="16"/>
          <w:lang w:eastAsia="ru-RU"/>
        </w:rPr>
      </w:pPr>
      <w:r w:rsidRPr="009F2FA2">
        <w:rPr>
          <w:rFonts w:ascii="Verdana" w:eastAsia="Times New Roman" w:hAnsi="Verdana" w:cs="Times New Roman"/>
          <w:color w:val="606060"/>
          <w:sz w:val="16"/>
          <w:szCs w:val="16"/>
          <w:lang w:eastAsia="ru-RU"/>
        </w:rPr>
        <w:t>Дата публикации 29.09.2016</w:t>
      </w:r>
    </w:p>
    <w:p w:rsidR="009F2FA2" w:rsidRPr="009F2FA2" w:rsidRDefault="009F2FA2" w:rsidP="009F2FA2">
      <w:pPr>
        <w:shd w:val="clear" w:color="auto" w:fill="F8F8F8"/>
        <w:autoSpaceDE w:val="0"/>
        <w:autoSpaceDN w:val="0"/>
        <w:spacing w:after="80" w:line="240" w:lineRule="auto"/>
        <w:rPr>
          <w:rFonts w:ascii="Verdana" w:eastAsia="Times New Roman" w:hAnsi="Verdana" w:cs="Times New Roman"/>
          <w:color w:val="606060"/>
          <w:sz w:val="16"/>
          <w:szCs w:val="16"/>
          <w:lang w:eastAsia="ru-RU"/>
        </w:rPr>
      </w:pPr>
      <w:r w:rsidRPr="009F2FA2">
        <w:rPr>
          <w:rFonts w:ascii="Verdana" w:eastAsia="Times New Roman" w:hAnsi="Verdana" w:cs="Times New Roman"/>
          <w:color w:val="606060"/>
          <w:sz w:val="16"/>
          <w:szCs w:val="16"/>
          <w:lang w:eastAsia="ru-RU"/>
        </w:rPr>
        <w:t>Использован релиз 3.0.44</w:t>
      </w:r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9F2FA2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Ответ:</w:t>
      </w:r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proofErr w:type="gramStart"/>
      <w:r w:rsidRPr="009F2FA2">
        <w:rPr>
          <w:rFonts w:ascii="Verdana" w:eastAsia="Times New Roman" w:hAnsi="Verdana" w:cs="Times New Roman"/>
          <w:sz w:val="19"/>
          <w:szCs w:val="19"/>
          <w:lang w:eastAsia="ru-RU"/>
        </w:rPr>
        <w:t>Для учета таможенных платежей, которые фиксируются в грузовой таможенной декларации (при поступлении товаров по импорту), предназначен документ "ГТД по импорту", который можно ввести на основании документа "Поступление (акт, накладная)" либо в разделе "Покупки" – подразделе "Покупки" по одноименной гиперссылке.</w:t>
      </w:r>
      <w:proofErr w:type="gramEnd"/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9F2FA2">
        <w:rPr>
          <w:rFonts w:ascii="Verdana" w:eastAsia="Times New Roman" w:hAnsi="Verdana" w:cs="Times New Roman"/>
          <w:sz w:val="19"/>
          <w:szCs w:val="19"/>
          <w:lang w:eastAsia="ru-RU"/>
        </w:rPr>
        <w:t>Для создания документа "ГТД по импорту" в программе "1С</w:t>
      </w:r>
      <w:proofErr w:type="gramStart"/>
      <w:r w:rsidRPr="009F2FA2">
        <w:rPr>
          <w:rFonts w:ascii="Verdana" w:eastAsia="Times New Roman" w:hAnsi="Verdana" w:cs="Times New Roman"/>
          <w:sz w:val="19"/>
          <w:szCs w:val="19"/>
          <w:lang w:eastAsia="ru-RU"/>
        </w:rPr>
        <w:t>:Б</w:t>
      </w:r>
      <w:proofErr w:type="gramEnd"/>
      <w:r w:rsidRPr="009F2FA2">
        <w:rPr>
          <w:rFonts w:ascii="Verdana" w:eastAsia="Times New Roman" w:hAnsi="Verdana" w:cs="Times New Roman"/>
          <w:sz w:val="19"/>
          <w:szCs w:val="19"/>
          <w:lang w:eastAsia="ru-RU"/>
        </w:rPr>
        <w:t>ухгалтерия 8" выполните следующие действия (рис. 1):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Меню: </w:t>
      </w:r>
      <w:r w:rsidRPr="009F2FA2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Покупки</w:t>
      </w: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– </w:t>
      </w:r>
      <w:r w:rsidRPr="009F2FA2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Покупки</w:t>
      </w: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– </w:t>
      </w:r>
      <w:r w:rsidRPr="009F2FA2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ГТД по импорту</w:t>
      </w: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Нажмите кнопку "Создать".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В полях "Таможня" и "Номер ГТД" введите наименование таможни (из справочника "Контрагенты") и номер грузовой таможенной декларации, по которой необходимо отразить информацию о таможенных платежах.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Пройдя по гиперссылке "Цены в документе", можно изменить валюту, т.к. таможенные сборы (штрафы) могут быть оформлены в любой валюте.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В поле "Депозит" укажите договор по расчетам с таможней (на перечисление авансового таможенного платежа).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В поле "Таможенный сбор" укажите сумму таможенного сбора (определяется в соответствии с постановлением Правительства РФ от 28.12.2004 № 863).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По гиперссылке "Расчеты" укажите счет расчетов с таможней и способ зачета аванса ("Автоматически", "По документу" или "Не зачитывать").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Флажок "Отразить вычет НДС в книге покупок" позволяет автоматически принять НДС к вычету с отражением в книге покупок.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На закладке "Разделы ГТД" указываются сумма таможенной пошлины, сумма взимаемого НДС и список товаров по каждому разделу ГТД. Добавлять разделы ГТД можно по кнопке "Добавить". Поле "Таможенная стоимость" заполняется в валюте документа (</w:t>
      </w:r>
      <w:hyperlink r:id="rId7" w:anchor="buh30_ris2" w:history="1">
        <w:r w:rsidRPr="009F2FA2">
          <w:rPr>
            <w:rFonts w:ascii="Verdana" w:eastAsia="Times New Roman" w:hAnsi="Verdana" w:cs="Times New Roman"/>
            <w:color w:val="970000"/>
            <w:sz w:val="20"/>
            <w:lang w:eastAsia="ru-RU"/>
          </w:rPr>
          <w:t>рис. 2</w:t>
        </w:r>
      </w:hyperlink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).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В поле "% пошлины" укажите ставку ввозной пошлины. Сумма пошлины будет рассчитана исходя из введенной таможенной стоимости товаров и ставки пошлины. Если таможенная пошлина установлена не в процентном отношении, а в виде фиксированной величины, то в графе "Пошлина" необходимо указать конкретную сумму (</w:t>
      </w:r>
      <w:hyperlink r:id="rId8" w:anchor="buh30_ris2" w:history="1">
        <w:r w:rsidRPr="009F2FA2">
          <w:rPr>
            <w:rFonts w:ascii="Verdana" w:eastAsia="Times New Roman" w:hAnsi="Verdana" w:cs="Times New Roman"/>
            <w:color w:val="970000"/>
            <w:sz w:val="20"/>
            <w:lang w:eastAsia="ru-RU"/>
          </w:rPr>
          <w:t>рис. 2</w:t>
        </w:r>
      </w:hyperlink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).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Табличная часть закладки "Разделы ГТД" заполняется информацией о товарах в валюте документа. Список номенклатуры можно заполнить автоматически из документа "Поступление (акт, накладная)" по кнопке "Заполнить" (выбирается документ поступления, </w:t>
      </w: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из которого весь перечень товаров попадает в табличную часть соответствующего раздела ГТД) или заполнить по кнопке "Подбор". По кнопке "Распределить" проводится перераспределение суммы НДС и таможенной пошлины пропорционально фактурной стоимости товаров (</w:t>
      </w:r>
      <w:hyperlink r:id="rId9" w:anchor="buh30_ris2" w:history="1">
        <w:r w:rsidRPr="009F2FA2">
          <w:rPr>
            <w:rFonts w:ascii="Verdana" w:eastAsia="Times New Roman" w:hAnsi="Verdana" w:cs="Times New Roman"/>
            <w:color w:val="970000"/>
            <w:sz w:val="20"/>
            <w:lang w:eastAsia="ru-RU"/>
          </w:rPr>
          <w:t>рис. 2</w:t>
        </w:r>
      </w:hyperlink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).</w:t>
      </w:r>
    </w:p>
    <w:p w:rsidR="009F2FA2" w:rsidRPr="009F2FA2" w:rsidRDefault="009F2FA2" w:rsidP="009F2FA2">
      <w:pPr>
        <w:numPr>
          <w:ilvl w:val="0"/>
          <w:numId w:val="1"/>
        </w:numPr>
        <w:autoSpaceDE w:val="0"/>
        <w:autoSpaceDN w:val="0"/>
        <w:spacing w:before="168" w:after="100" w:afterAutospacing="1" w:line="240" w:lineRule="auto"/>
        <w:ind w:left="81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2FA2">
        <w:rPr>
          <w:rFonts w:ascii="Verdana" w:eastAsia="Times New Roman" w:hAnsi="Verdana" w:cs="Times New Roman"/>
          <w:sz w:val="20"/>
          <w:szCs w:val="20"/>
          <w:lang w:eastAsia="ru-RU"/>
        </w:rPr>
        <w:t>Нажмите кнопку "Провести и закрыть".</w:t>
      </w:r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>
        <w:rPr>
          <w:rFonts w:ascii="Verdana" w:eastAsia="Times New Roman" w:hAnsi="Verdana" w:cs="Times New Roman"/>
          <w:noProof/>
          <w:sz w:val="19"/>
          <w:szCs w:val="19"/>
          <w:lang w:eastAsia="ru-RU"/>
        </w:rPr>
        <w:lastRenderedPageBreak/>
        <w:drawing>
          <wp:inline distT="0" distB="0" distL="0" distR="0">
            <wp:extent cx="9572625" cy="7125079"/>
            <wp:effectExtent l="19050" t="0" r="9525" b="0"/>
            <wp:docPr id="2" name="Рисунок 2" descr="http://its.1c.ru/db/content/answers1c/src/бп30/_pictures/бп30_160929_ктаможплатеж/рис.%201.png?_=1531465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s.1c.ru/db/content/answers1c/src/бп30/_pictures/бп30_160929_ктаможплатеж/рис.%201.png?_=153146556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625" cy="7125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9F2FA2">
        <w:rPr>
          <w:rFonts w:ascii="Verdana" w:eastAsia="Times New Roman" w:hAnsi="Verdana" w:cs="Times New Roman"/>
          <w:sz w:val="19"/>
          <w:szCs w:val="19"/>
          <w:lang w:eastAsia="ru-RU"/>
        </w:rPr>
        <w:lastRenderedPageBreak/>
        <w:t>Рис. 1</w:t>
      </w:r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bookmarkStart w:id="0" w:name="buh30_ris2"/>
      <w:bookmarkEnd w:id="0"/>
      <w:r>
        <w:rPr>
          <w:rFonts w:ascii="Verdana" w:eastAsia="Times New Roman" w:hAnsi="Verdana" w:cs="Times New Roman"/>
          <w:noProof/>
          <w:sz w:val="19"/>
          <w:szCs w:val="19"/>
          <w:lang w:eastAsia="ru-RU"/>
        </w:rPr>
        <w:drawing>
          <wp:inline distT="0" distB="0" distL="0" distR="0">
            <wp:extent cx="9886950" cy="5304401"/>
            <wp:effectExtent l="19050" t="0" r="0" b="0"/>
            <wp:docPr id="3" name="Рисунок 3" descr="http://its.1c.ru/db/content/answers1c/src/бп30/_pictures/бп30_160929_ктаможплатеж/рис.%202.png?_=1531465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ts.1c.ru/db/content/answers1c/src/бп30/_pictures/бп30_160929_ктаможплатеж/рис.%202.png?_=153146556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5304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9F2FA2">
        <w:rPr>
          <w:rFonts w:ascii="Verdana" w:eastAsia="Times New Roman" w:hAnsi="Verdana" w:cs="Times New Roman"/>
          <w:sz w:val="19"/>
          <w:szCs w:val="19"/>
          <w:lang w:eastAsia="ru-RU"/>
        </w:rPr>
        <w:lastRenderedPageBreak/>
        <w:t>Рис. 2</w:t>
      </w:r>
    </w:p>
    <w:p w:rsidR="009F2FA2" w:rsidRPr="009F2FA2" w:rsidRDefault="009F2FA2" w:rsidP="009F2FA2">
      <w:pPr>
        <w:autoSpaceDE w:val="0"/>
        <w:autoSpaceDN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9F2FA2">
        <w:rPr>
          <w:rFonts w:ascii="Verdana" w:eastAsia="Times New Roman" w:hAnsi="Verdana" w:cs="Times New Roman"/>
          <w:sz w:val="19"/>
          <w:szCs w:val="19"/>
          <w:lang w:eastAsia="ru-RU"/>
        </w:rPr>
        <w:t>Грузовая таможенная декларация может иметь несколько разделов, в которые группируются товары с одинаковым порядком расчета таможенных платежей. На закладке "Разделы ГТД" расположены две связанные табличные части. В верхней таблице отражается сводная информация о таможенных пошлинах по всем разделам ГТД, а в нижней – информация о товарах по каждому разделу ГТД.</w:t>
      </w:r>
    </w:p>
    <w:p w:rsidR="00182D95" w:rsidRDefault="00182D95"/>
    <w:sectPr w:rsidR="00182D95" w:rsidSect="009F2FA2">
      <w:footerReference w:type="default" r:id="rId12"/>
      <w:pgSz w:w="16838" w:h="11906" w:orient="landscape"/>
      <w:pgMar w:top="851" w:right="1134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854" w:rsidRDefault="00AF3854" w:rsidP="009F2FA2">
      <w:pPr>
        <w:spacing w:after="0" w:line="240" w:lineRule="auto"/>
      </w:pPr>
      <w:r>
        <w:separator/>
      </w:r>
    </w:p>
  </w:endnote>
  <w:endnote w:type="continuationSeparator" w:id="0">
    <w:p w:rsidR="00AF3854" w:rsidRDefault="00AF3854" w:rsidP="009F2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77363"/>
      <w:docPartObj>
        <w:docPartGallery w:val="Page Numbers (Bottom of Page)"/>
        <w:docPartUnique/>
      </w:docPartObj>
    </w:sdtPr>
    <w:sdtContent>
      <w:p w:rsidR="009F2FA2" w:rsidRDefault="009F2FA2">
        <w:pPr>
          <w:pStyle w:val="a9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F2FA2" w:rsidRDefault="009F2FA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854" w:rsidRDefault="00AF3854" w:rsidP="009F2FA2">
      <w:pPr>
        <w:spacing w:after="0" w:line="240" w:lineRule="auto"/>
      </w:pPr>
      <w:r>
        <w:separator/>
      </w:r>
    </w:p>
  </w:footnote>
  <w:footnote w:type="continuationSeparator" w:id="0">
    <w:p w:rsidR="00AF3854" w:rsidRDefault="00AF3854" w:rsidP="009F2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F6979"/>
    <w:multiLevelType w:val="multilevel"/>
    <w:tmpl w:val="0680D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FA2"/>
    <w:rsid w:val="00182D95"/>
    <w:rsid w:val="009F2FA2"/>
    <w:rsid w:val="00AF3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2FA2"/>
    <w:rPr>
      <w:b w:val="0"/>
      <w:bCs w:val="0"/>
      <w:strike w:val="0"/>
      <w:dstrike w:val="0"/>
      <w:color w:val="97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F2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FA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9F2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F2FA2"/>
  </w:style>
  <w:style w:type="paragraph" w:styleId="a9">
    <w:name w:val="footer"/>
    <w:basedOn w:val="a"/>
    <w:link w:val="aa"/>
    <w:uiPriority w:val="99"/>
    <w:unhideWhenUsed/>
    <w:rsid w:val="009F2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F2F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2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0992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065">
          <w:marLeft w:val="80"/>
          <w:marRight w:val="400"/>
          <w:marTop w:val="80"/>
          <w:marBottom w:val="80"/>
          <w:divBdr>
            <w:top w:val="single" w:sz="6" w:space="2" w:color="E8E8E8"/>
            <w:left w:val="single" w:sz="6" w:space="2" w:color="E8E8E8"/>
            <w:bottom w:val="single" w:sz="6" w:space="2" w:color="E8E8E8"/>
            <w:right w:val="single" w:sz="6" w:space="2" w:color="E8E8E8"/>
          </w:divBdr>
        </w:div>
        <w:div w:id="2012560694">
          <w:marLeft w:val="90"/>
          <w:marRight w:val="9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5170">
                  <w:marLeft w:val="80"/>
                  <w:marRight w:val="80"/>
                  <w:marTop w:val="80"/>
                  <w:marBottom w:val="80"/>
                  <w:divBdr>
                    <w:top w:val="single" w:sz="6" w:space="0" w:color="A79C9A"/>
                    <w:left w:val="single" w:sz="6" w:space="6" w:color="A79C9A"/>
                    <w:bottom w:val="single" w:sz="6" w:space="6" w:color="A79C9A"/>
                    <w:right w:val="single" w:sz="6" w:space="6" w:color="A79C9A"/>
                  </w:divBdr>
                  <w:divsChild>
                    <w:div w:id="98042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s.1c.ru/db/content/answers1c/src/&#1073;&#1087;30/&#1086;&#1092;&#1086;&#1088;&#1084;&#1083;&#1077;&#1085;&#1080;&#1077;%20&#1087;&#1077;&#1088;&#1074;&#1080;&#1095;&#1085;&#1099;&#1093;%20&#1076;&#1086;&#1082;&#1091;&#1084;&#1077;&#1085;&#1090;&#1086;&#1074;/&#1073;&#1087;30_160929_&#1082;&#1090;&#1072;&#1084;&#1086;&#1078;&#1087;&#1083;&#1072;&#1090;&#1077;&#1078;.htm?_=1531465563&amp;search=&#1089;%20&#1087;&#1086;&#1084;&#1086;&#1097;&#1100;&#1102;%20&#1082;&#1072;&#1082;&#1086;&#1075;&#1086;%20&#1076;&#1086;&#1082;&#1091;&#1084;&#1077;&#1085;&#1090;&#1072;%20&#1088;&#1077;&#1075;&#1080;&#1089;&#1090;&#1088;&#1080;&#1088;&#1091;&#1077;&#1090;&#1089;&#1103;%20&#1091;&#1095;&#1077;&#1090;%20&#1090;&#1072;&#1084;&#1086;&#1078;&#1077;&#1085;&#1085;&#1099;&#1093;%20&#1087;&#1083;&#1072;&#1090;&#1077;&#1078;&#1077;&#1081;%20&#1074;%20%221&#1089;:&#1073;&#1091;&#1093;&#1075;&#1072;&#1083;&#1090;&#1077;&#1088;&#1080;&#1080;%208%22%20(&#1088;&#1077;&#1076;.%203.0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ts.1c.ru/db/content/answers1c/src/&#1073;&#1087;30/&#1086;&#1092;&#1086;&#1088;&#1084;&#1083;&#1077;&#1085;&#1080;&#1077;%20&#1087;&#1077;&#1088;&#1074;&#1080;&#1095;&#1085;&#1099;&#1093;%20&#1076;&#1086;&#1082;&#1091;&#1084;&#1077;&#1085;&#1090;&#1086;&#1074;/&#1073;&#1087;30_160929_&#1082;&#1090;&#1072;&#1084;&#1086;&#1078;&#1087;&#1083;&#1072;&#1090;&#1077;&#1078;.htm?_=1531465563&amp;search=&#1089;%20&#1087;&#1086;&#1084;&#1086;&#1097;&#1100;&#1102;%20&#1082;&#1072;&#1082;&#1086;&#1075;&#1086;%20&#1076;&#1086;&#1082;&#1091;&#1084;&#1077;&#1085;&#1090;&#1072;%20&#1088;&#1077;&#1075;&#1080;&#1089;&#1090;&#1088;&#1080;&#1088;&#1091;&#1077;&#1090;&#1089;&#1103;%20&#1091;&#1095;&#1077;&#1090;%20&#1090;&#1072;&#1084;&#1086;&#1078;&#1077;&#1085;&#1085;&#1099;&#1093;%20&#1087;&#1083;&#1072;&#1090;&#1077;&#1078;&#1077;&#1081;%20&#1074;%20%221&#1089;:&#1073;&#1091;&#1093;&#1075;&#1072;&#1083;&#1090;&#1077;&#1088;&#1080;&#1080;%208%22%20(&#1088;&#1077;&#1076;.%203.0)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its.1c.ru/db/content/answers1c/src/&#1073;&#1087;30/&#1086;&#1092;&#1086;&#1088;&#1084;&#1083;&#1077;&#1085;&#1080;&#1077;%20&#1087;&#1077;&#1088;&#1074;&#1080;&#1095;&#1085;&#1099;&#1093;%20&#1076;&#1086;&#1082;&#1091;&#1084;&#1077;&#1085;&#1090;&#1086;&#1074;/&#1073;&#1087;30_160929_&#1082;&#1090;&#1072;&#1084;&#1086;&#1078;&#1087;&#1083;&#1072;&#1090;&#1077;&#1078;.htm?_=1531465563&amp;search=&#1089;%20&#1087;&#1086;&#1084;&#1086;&#1097;&#1100;&#1102;%20&#1082;&#1072;&#1082;&#1086;&#1075;&#1086;%20&#1076;&#1086;&#1082;&#1091;&#1084;&#1077;&#1085;&#1090;&#1072;%20&#1088;&#1077;&#1075;&#1080;&#1089;&#1090;&#1088;&#1080;&#1088;&#1091;&#1077;&#1090;&#1089;&#1103;%20&#1091;&#1095;&#1077;&#1090;%20&#1090;&#1072;&#1084;&#1086;&#1078;&#1077;&#1085;&#1085;&#1099;&#1093;%20&#1087;&#1083;&#1072;&#1090;&#1077;&#1078;&#1077;&#1081;%20&#1074;%20%221&#1089;:&#1073;&#1091;&#1093;&#1075;&#1072;&#1083;&#1090;&#1077;&#1088;&#1080;&#1080;%208%22%20(&#1088;&#1077;&#1076;.%203.0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2018-07-15T10:05:00Z</dcterms:created>
  <dcterms:modified xsi:type="dcterms:W3CDTF">2018-07-15T10:08:00Z</dcterms:modified>
</cp:coreProperties>
</file>