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741" w:rsidRDefault="000F5B64">
      <w:pPr>
        <w:pStyle w:val="a3"/>
        <w:divId w:val="19820019"/>
      </w:pPr>
      <w:r>
        <w:t>Редакция действует с 1 апр 2014</w:t>
      </w:r>
    </w:p>
    <w:p w:rsidR="008B5741" w:rsidRDefault="000F5B64">
      <w:pPr>
        <w:pStyle w:val="1"/>
        <w:divId w:val="19820019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Сравнение украинских и российских правил уплаты НДС для Республики Крым и города Севастополя на переходный период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1631"/>
        <w:gridCol w:w="1770"/>
        <w:gridCol w:w="1172"/>
        <w:gridCol w:w="2236"/>
        <w:gridCol w:w="1172"/>
        <w:gridCol w:w="1674"/>
      </w:tblGrid>
      <w:tr w:rsidR="008B5741">
        <w:trPr>
          <w:divId w:val="1149592344"/>
          <w:tblHeader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Основные элементы для сравнения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Правила украинского законодательства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Основание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Правила российского законодательства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Основание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Что меняется для Республики Крым и г. Севастополя</w:t>
            </w:r>
          </w:p>
        </w:tc>
      </w:tr>
      <w:tr w:rsidR="008B5741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Кто должен платить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>Организации и предприниматели, которые:</w:t>
            </w:r>
            <w:r>
              <w:br/>
              <w:t>– зарегистрированы в качестве плательщика НДС;</w:t>
            </w:r>
            <w:r>
              <w:br/>
              <w:t>– ввозят товары на таможенную территорию Республики Крым;</w:t>
            </w:r>
            <w:r>
              <w:br/>
              <w:t>– ведут учет деятельности по договору о совместной деятельности без создания юридического лица;</w:t>
            </w:r>
            <w:r>
              <w:br/>
              <w:t>– управляют имуществом;</w:t>
            </w:r>
            <w:r>
              <w:br/>
              <w:t>– проводят операции по поставке конфискованн</w:t>
            </w:r>
            <w:r>
              <w:lastRenderedPageBreak/>
              <w:t>ого, бесхозного имущества;</w:t>
            </w:r>
            <w:r>
              <w:br/>
              <w:t>– оказывают услуги предприятиям железнодорожного транспорта;</w:t>
            </w:r>
            <w:r>
              <w:br/>
              <w:t>– являются инвесторами, ведущими отдельный налоговый учет в рамках соглашения о распределении продукции.</w:t>
            </w:r>
          </w:p>
          <w:p w:rsidR="008B5741" w:rsidRDefault="000F5B64">
            <w:pPr>
              <w:pStyle w:val="a3"/>
            </w:pPr>
            <w:r>
              <w:t>В обязательном порядке нужно зарегистрироваться в качестве плательщика НДС, если общая выручка от налогооблагаемых операций за последние 12 месяцев превысит 300 тыс. гривен.</w:t>
            </w:r>
          </w:p>
          <w:p w:rsidR="008B5741" w:rsidRDefault="000F5B64">
            <w:pPr>
              <w:pStyle w:val="a3"/>
            </w:pPr>
            <w:r>
              <w:t>При этом организации и предпринима</w:t>
            </w:r>
            <w:r>
              <w:lastRenderedPageBreak/>
              <w:t>тели могут зарегистрироваться в качестве плательщиков НДС в добровольном порядке, если объем выручки меньше установленного предела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Статьи 180–182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– Организации и предприниматели, которые применяют общую систему налогообложения;</w:t>
            </w:r>
            <w:r>
              <w:rPr>
                <w:rFonts w:eastAsia="Times New Roman"/>
              </w:rPr>
              <w:br/>
              <w:t>– Иностранные организации, вставшие на учет в налоговой инспекции России;</w:t>
            </w:r>
            <w:r>
              <w:rPr>
                <w:rFonts w:eastAsia="Times New Roman"/>
              </w:rPr>
              <w:br/>
              <w:t xml:space="preserve">– Налоговые агенты </w:t>
            </w:r>
            <w:hyperlink r:id="rId4" w:anchor="/document/113/175/" w:tooltip="Налоговые агенты по НДС – российские организации, которые обязаны рассчитать, удержать из выплачиваемых доходов и перечислить в бюджет суммы НДС по операциям, перечисленным в статье 161 Налогового кодекса РФ." w:history="1">
              <w:r>
                <w:rPr>
                  <w:rStyle w:val="a4"/>
                  <w:rFonts w:eastAsia="Times New Roman"/>
                </w:rPr>
                <w:t>по НДС</w:t>
              </w:r>
            </w:hyperlink>
            <w:r>
              <w:rPr>
                <w:rFonts w:eastAsia="Times New Roman"/>
              </w:rPr>
              <w:t>;</w:t>
            </w:r>
            <w:r>
              <w:rPr>
                <w:rFonts w:eastAsia="Times New Roman"/>
              </w:rPr>
              <w:br/>
              <w:t>– Организации и предприниматели, которые применяют ЕНВД и упрощенную систему налогообложения в случае если:</w:t>
            </w:r>
            <w:r>
              <w:rPr>
                <w:rFonts w:eastAsia="Times New Roman"/>
              </w:rPr>
              <w:br/>
              <w:t>– покупателю выставлен счет-фактура с выделенной суммой НДС;</w:t>
            </w:r>
            <w:r>
              <w:rPr>
                <w:rFonts w:eastAsia="Times New Roman"/>
              </w:rPr>
              <w:br/>
              <w:t xml:space="preserve">– организация ведет общие дела в простых товариществах, </w:t>
            </w:r>
            <w:r>
              <w:rPr>
                <w:rFonts w:eastAsia="Times New Roman"/>
              </w:rPr>
              <w:lastRenderedPageBreak/>
              <w:t>является доверительным управляющим или концессионером;</w:t>
            </w:r>
            <w:r>
              <w:rPr>
                <w:rFonts w:eastAsia="Times New Roman"/>
              </w:rPr>
              <w:br/>
              <w:t>– импортируют товары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Статьи </w:t>
            </w:r>
            <w:hyperlink r:id="rId5" w:anchor="/document/99/901765862/ZA00M1K2MK/" w:tooltip="Статья 143. Налогоплательщики" w:history="1">
              <w:r>
                <w:rPr>
                  <w:rStyle w:val="a4"/>
                  <w:rFonts w:eastAsia="Times New Roman"/>
                </w:rPr>
                <w:t>143</w:t>
              </w:r>
            </w:hyperlink>
            <w:r>
              <w:rPr>
                <w:rFonts w:eastAsia="Times New Roman"/>
              </w:rPr>
              <w:t xml:space="preserve">, </w:t>
            </w:r>
            <w:hyperlink r:id="rId6" w:anchor="/document/99/901765862/ZA00MMI2OT/" w:tooltip="Статья 161. Особенности определения налоговой базы налоговыми агентами" w:history="1">
              <w:r>
                <w:rPr>
                  <w:rStyle w:val="a4"/>
                  <w:rFonts w:eastAsia="Times New Roman"/>
                </w:rPr>
                <w:t>161</w:t>
              </w:r>
            </w:hyperlink>
            <w:r>
              <w:rPr>
                <w:rFonts w:eastAsia="Times New Roman"/>
              </w:rPr>
              <w:t xml:space="preserve">, </w:t>
            </w:r>
            <w:hyperlink r:id="rId7" w:anchor="/document/99/901765862/XA00MEQ2NA/" w:tooltip="5. Сумма налога, подлежащая уплате в бюджет, исчисляется следующими лицами в случае выставления ими покупателю счета-фактуры с выделением суммы налога (абзац в редакции, введенной в действие с 30 июня 2002 года Федеральны..." w:history="1">
              <w:r>
                <w:rPr>
                  <w:rStyle w:val="a4"/>
                  <w:rFonts w:eastAsia="Times New Roman"/>
                </w:rPr>
                <w:t>пункт 5</w:t>
              </w:r>
            </w:hyperlink>
            <w:r>
              <w:rPr>
                <w:rFonts w:eastAsia="Times New Roman"/>
              </w:rPr>
              <w:t xml:space="preserve"> статьи 173, </w:t>
            </w:r>
            <w:hyperlink r:id="rId8" w:anchor="/document/99/901765862/XA00MJG2OA/" w:tooltip="2. Применение упрощенной системы налогообложения организациями предусматривает их освобождение от обязанности по уплате налога на прибыль организаций (за исключением налога, уплачиваемого с доходов, облагаемых по налоговы..." w:history="1">
              <w:r>
                <w:rPr>
                  <w:rStyle w:val="a4"/>
                  <w:rFonts w:eastAsia="Times New Roman"/>
                </w:rPr>
                <w:t>пункт 2</w:t>
              </w:r>
            </w:hyperlink>
            <w:r>
              <w:rPr>
                <w:rFonts w:eastAsia="Times New Roman"/>
              </w:rPr>
              <w:t xml:space="preserve"> статьи 346.11, </w:t>
            </w:r>
            <w:hyperlink r:id="rId9" w:anchor="/document/99/901765862/XA00RQI2OS/" w:tooltip="4. Уплата организациями единого налога предусматривает их освобождение от обязанности по уплате налога на прибыль организаций (в отношении прибыли, полученной от предпринимательской деятельности, облагаемой единым налогом).." w:history="1">
              <w:r>
                <w:rPr>
                  <w:rStyle w:val="a4"/>
                  <w:rFonts w:eastAsia="Times New Roman"/>
                </w:rPr>
                <w:t>пункт 4</w:t>
              </w:r>
            </w:hyperlink>
            <w:r>
              <w:rPr>
                <w:rFonts w:eastAsia="Times New Roman"/>
              </w:rPr>
              <w:t xml:space="preserve"> статьи 346.26 Налогового кодекса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>Регистрироваться в качестве плательщика НДС не нужно. Но обязанность платить такой налог не зависит от размера выручки.</w:t>
            </w:r>
          </w:p>
          <w:p w:rsidR="008B5741" w:rsidRDefault="000F5B64">
            <w:pPr>
              <w:pStyle w:val="a3"/>
            </w:pPr>
            <w:r>
              <w:t>По российским положениям есть две категории тех, кто должен направлять налог в бюджет:</w:t>
            </w:r>
          </w:p>
          <w:p w:rsidR="008B5741" w:rsidRDefault="000F5B64">
            <w:pPr>
              <w:pStyle w:val="a3"/>
            </w:pPr>
            <w:r>
              <w:t xml:space="preserve">– плательщик НДС (тот, кто должен платить налог от своего </w:t>
            </w:r>
            <w:r>
              <w:lastRenderedPageBreak/>
              <w:t>имени);</w:t>
            </w:r>
          </w:p>
          <w:p w:rsidR="008B5741" w:rsidRDefault="000F5B64">
            <w:pPr>
              <w:pStyle w:val="a3"/>
            </w:pPr>
            <w:r>
              <w:t>– налоговый агент по НДС (тот, кто должен удержать НДС из выплачиваемых доходов и перечислить его в бюджет).</w:t>
            </w:r>
          </w:p>
          <w:p w:rsidR="008B5741" w:rsidRDefault="000F5B64">
            <w:pPr>
              <w:pStyle w:val="a3"/>
            </w:pPr>
            <w:r>
              <w:t>Если организация или предприниматель не применяют специальные налоговые режимы, они автоматически считаются плательщиками НДС</w:t>
            </w:r>
          </w:p>
        </w:tc>
      </w:tr>
      <w:tr w:rsidR="008B5741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Объект налогообложения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Операции, связанные:</w:t>
            </w:r>
            <w:r>
              <w:rPr>
                <w:rFonts w:eastAsia="Times New Roman"/>
              </w:rPr>
              <w:br/>
              <w:t>– с поставкой товаров и услуг на территории Республики Крым;</w:t>
            </w:r>
            <w:r>
              <w:rPr>
                <w:rFonts w:eastAsia="Times New Roman"/>
              </w:rPr>
              <w:br/>
              <w:t>– импортом и экспортом товаров;</w:t>
            </w:r>
            <w:r>
              <w:rPr>
                <w:rFonts w:eastAsia="Times New Roman"/>
              </w:rPr>
              <w:br/>
              <w:t>– оказанием услуг по международным перевозкам пассажиров, багажа и грузов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Статья 185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Операции, связанные с:</w:t>
            </w:r>
            <w:r>
              <w:rPr>
                <w:rFonts w:eastAsia="Times New Roman"/>
              </w:rPr>
              <w:br/>
              <w:t>– реализацией товаров (работ, услуг, имущественных прав) на территории России;</w:t>
            </w:r>
            <w:r>
              <w:rPr>
                <w:rFonts w:eastAsia="Times New Roman"/>
              </w:rPr>
              <w:br/>
              <w:t>– передачей товаров (выполнением работ, оказанием услуг) для собственных нужд, расходы на которые не учитываются при расчете налога на прибыль;</w:t>
            </w:r>
            <w:r>
              <w:rPr>
                <w:rFonts w:eastAsia="Times New Roman"/>
              </w:rPr>
              <w:br/>
              <w:t>– выполнением строительно-монтажных работ для собственного потребления;</w:t>
            </w:r>
            <w:r>
              <w:rPr>
                <w:rFonts w:eastAsia="Times New Roman"/>
              </w:rPr>
              <w:br/>
              <w:t xml:space="preserve">– </w:t>
            </w:r>
            <w:hyperlink r:id="rId10" w:anchor="/document/113/3692/" w:tooltip="Импорт (выпуск для внутреннего потребления) – таможенная процедура, при которой иностранные товары ввозятся на территорию Таможенного союза без ограничений по их использованию (ст. 209 Таможенного кодекса таможенного союза)." w:history="1">
              <w:r>
                <w:rPr>
                  <w:rStyle w:val="a4"/>
                  <w:rFonts w:eastAsia="Times New Roman"/>
                </w:rPr>
                <w:t>импортом товаров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8B5741">
            <w:pPr>
              <w:rPr>
                <w:rFonts w:eastAsia="Times New Roman"/>
              </w:rPr>
            </w:pPr>
            <w:hyperlink r:id="rId11" w:anchor="/document/99/901765862/ZA00MJ02NA/" w:tooltip="Статья 146. Объект налогообложения" w:history="1">
              <w:r w:rsidR="000F5B64">
                <w:rPr>
                  <w:rStyle w:val="a4"/>
                  <w:rFonts w:eastAsia="Times New Roman"/>
                </w:rPr>
                <w:t>Статья 146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>По российским нормам к товарам, вывозимым за пределы таможенной территории, применяется ставка налога 0 процентов.</w:t>
            </w:r>
          </w:p>
          <w:p w:rsidR="008B5741" w:rsidRDefault="000F5B64">
            <w:pPr>
              <w:pStyle w:val="a3"/>
            </w:pPr>
            <w:r>
              <w:t xml:space="preserve">А передав товары (работы, услуги) для собственного потребления, придется начислять налог </w:t>
            </w:r>
          </w:p>
        </w:tc>
      </w:tr>
      <w:tr w:rsidR="008B5741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Необлагаем</w:t>
            </w:r>
            <w:r>
              <w:rPr>
                <w:rFonts w:eastAsia="Times New Roman"/>
              </w:rPr>
              <w:lastRenderedPageBreak/>
              <w:t>ые операции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lastRenderedPageBreak/>
              <w:t xml:space="preserve">– Операции с </w:t>
            </w:r>
            <w:r>
              <w:lastRenderedPageBreak/>
              <w:t>государственными ценными бумагами;</w:t>
            </w:r>
            <w:r>
              <w:br/>
              <w:t>– Передача и возврат лизингового имущества (кроме финансового лизинга);</w:t>
            </w:r>
            <w:r>
              <w:br/>
              <w:t>– Начисление и уплата процентов в составе платежей по договору финансового лизинга;</w:t>
            </w:r>
            <w:r>
              <w:br/>
              <w:t>– Передача (возврат) имущества в залог;</w:t>
            </w:r>
            <w:r>
              <w:br/>
              <w:t>– Обращение банковских металлов и валютных ценностей;</w:t>
            </w:r>
            <w:r>
              <w:br/>
              <w:t>– Выплата зарплаты и социальных выплат;</w:t>
            </w:r>
            <w:r>
              <w:br/>
              <w:t>– Выплата дивидендов, роялти;</w:t>
            </w:r>
            <w:r>
              <w:br/>
              <w:t xml:space="preserve">– Операции по реорганизации (слиянию, присоединению, разделению, </w:t>
            </w:r>
            <w:r>
              <w:lastRenderedPageBreak/>
              <w:t>выделению и преобразованию) юридических лиц;</w:t>
            </w:r>
            <w:r>
              <w:br/>
              <w:t>– Поставка внешкольным учебным заведением платных услуг в сфере внешкольного образования;</w:t>
            </w:r>
            <w:r>
              <w:br/>
              <w:t>– Услуги по агентированию и фрахтованию морского торгового флота судовыми агентами в пользу нерезидентов;</w:t>
            </w:r>
          </w:p>
          <w:p w:rsidR="008B5741" w:rsidRDefault="000F5B64">
            <w:pPr>
              <w:pStyle w:val="a3"/>
            </w:pPr>
            <w:r>
              <w:t>– Оплата аренды (концессии) по договору аренды (концессии) целостного имущественного комплекса государственного или коммунального предприятия;</w:t>
            </w:r>
            <w:r>
              <w:br/>
              <w:t xml:space="preserve">– Ввоз и вывоз за </w:t>
            </w:r>
            <w:r>
              <w:lastRenderedPageBreak/>
              <w:t>пределы таможенной территории товаров, таможенная стоимость которых не превышает эквивалент 100 евро;</w:t>
            </w:r>
            <w:r>
              <w:br/>
              <w:t>– Ввоз товаров, суммарная фактурная стоимость которых не превышает эквивалент 300 евро, и т. 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Статья </w:t>
            </w:r>
            <w:r>
              <w:rPr>
                <w:rFonts w:eastAsia="Times New Roman"/>
              </w:rPr>
              <w:lastRenderedPageBreak/>
              <w:t>196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– Операции, </w:t>
            </w:r>
            <w:r>
              <w:rPr>
                <w:rFonts w:eastAsia="Times New Roman"/>
              </w:rPr>
              <w:lastRenderedPageBreak/>
              <w:t>связанные с обращением валюты;</w:t>
            </w:r>
            <w:r>
              <w:rPr>
                <w:rFonts w:eastAsia="Times New Roman"/>
              </w:rPr>
              <w:br/>
              <w:t>– Передача имущества и имущественных прав правопреемникам при реорганизации;</w:t>
            </w:r>
            <w:r>
              <w:rPr>
                <w:rFonts w:eastAsia="Times New Roman"/>
              </w:rPr>
              <w:br/>
              <w:t>– Передача имущества некоммерческим организациям для осуществления некоммерческой уставной деятельности;</w:t>
            </w:r>
            <w:r>
              <w:rPr>
                <w:rFonts w:eastAsia="Times New Roman"/>
              </w:rPr>
              <w:br/>
              <w:t>– Передача имущества в качестве вклада в уставный капитал;</w:t>
            </w:r>
            <w:r>
              <w:rPr>
                <w:rFonts w:eastAsia="Times New Roman"/>
              </w:rPr>
              <w:br/>
              <w:t>– Реализация земельных участков (долей в них);</w:t>
            </w:r>
            <w:r>
              <w:rPr>
                <w:rFonts w:eastAsia="Times New Roman"/>
              </w:rPr>
              <w:br/>
              <w:t>– Безвозмездная передача объектов органам государственной власти и местного самоуправления;</w:t>
            </w:r>
            <w:r>
              <w:rPr>
                <w:rFonts w:eastAsia="Times New Roman"/>
              </w:rPr>
              <w:br/>
              <w:t>– Выкуп имущества в порядке приватизации;</w:t>
            </w:r>
            <w:r>
              <w:rPr>
                <w:rFonts w:eastAsia="Times New Roman"/>
              </w:rPr>
              <w:br/>
              <w:t xml:space="preserve">– Выполнение работ (оказание услуг) органами государственной власти местного самоуправления и </w:t>
            </w:r>
            <w:r>
              <w:rPr>
                <w:rFonts w:eastAsia="Times New Roman"/>
              </w:rPr>
              <w:lastRenderedPageBreak/>
              <w:t>т. 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8B5741">
            <w:pPr>
              <w:rPr>
                <w:rFonts w:eastAsia="Times New Roman"/>
              </w:rPr>
            </w:pPr>
            <w:hyperlink r:id="rId12" w:anchor="/document/99/901714421/XA00MEE2NA/" w:tooltip="3. Не признается реализацией товаров, работ или услуг:" w:history="1">
              <w:r w:rsidR="000F5B64">
                <w:rPr>
                  <w:rStyle w:val="a4"/>
                  <w:rFonts w:eastAsia="Times New Roman"/>
                </w:rPr>
                <w:t>Пункт 3</w:t>
              </w:r>
            </w:hyperlink>
            <w:r w:rsidR="000F5B64">
              <w:rPr>
                <w:rFonts w:eastAsia="Times New Roman"/>
              </w:rPr>
              <w:t xml:space="preserve"> </w:t>
            </w:r>
            <w:r w:rsidR="000F5B64">
              <w:rPr>
                <w:rFonts w:eastAsia="Times New Roman"/>
              </w:rPr>
              <w:lastRenderedPageBreak/>
              <w:t xml:space="preserve">статьи 39, </w:t>
            </w:r>
            <w:hyperlink r:id="rId13" w:anchor="/document/99/901765862/XA00MAM2NB/" w:tooltip="2. В целях настоящей главы не признаются объектом налогообложения (абзац в редакции, введенной в действие с 30 июня 2002 года Федеральным законом от 29 мая 2002 года N 57-ФЗ; действие распространяется на отношения, возникшие с .." w:history="1">
              <w:r w:rsidR="000F5B64">
                <w:rPr>
                  <w:rStyle w:val="a4"/>
                  <w:rFonts w:eastAsia="Times New Roman"/>
                </w:rPr>
                <w:t>пункт 2</w:t>
              </w:r>
            </w:hyperlink>
            <w:r w:rsidR="000F5B64">
              <w:rPr>
                <w:rFonts w:eastAsia="Times New Roman"/>
              </w:rPr>
              <w:t xml:space="preserve"> статьи 146 Налогового кодекса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Частично </w:t>
            </w:r>
            <w:r>
              <w:rPr>
                <w:rFonts w:eastAsia="Times New Roman"/>
              </w:rPr>
              <w:lastRenderedPageBreak/>
              <w:t>отличается перечень операций, которые не признаются объектом налогообложения. Например, ряд выплат исходя из своего экономического содержания автоматически не признаются объектом налогообложения (зарплата, социальные трансферты, дивиденды)</w:t>
            </w:r>
          </w:p>
        </w:tc>
      </w:tr>
      <w:tr w:rsidR="008B5741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Операции, которые освобождены от налогообложения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– Поставка продуктов детского питания и товаров детского ассортимента для новорожденных;</w:t>
            </w:r>
            <w:r>
              <w:rPr>
                <w:rFonts w:eastAsia="Times New Roman"/>
              </w:rPr>
              <w:br/>
              <w:t>– Образовательная деятельность;</w:t>
            </w:r>
            <w:r>
              <w:rPr>
                <w:rFonts w:eastAsia="Times New Roman"/>
              </w:rPr>
              <w:br/>
              <w:t xml:space="preserve">– Поставка средств реабилитации (комплектующих для них), автомобилей для инвалидов и </w:t>
            </w:r>
            <w:r>
              <w:rPr>
                <w:rFonts w:eastAsia="Times New Roman"/>
              </w:rPr>
              <w:lastRenderedPageBreak/>
              <w:t>других льготных категорий граждан;</w:t>
            </w:r>
            <w:r>
              <w:rPr>
                <w:rFonts w:eastAsia="Times New Roman"/>
              </w:rPr>
              <w:br/>
              <w:t>– Услуги по доставке пенсий и других социальных выплат населению;</w:t>
            </w:r>
            <w:r>
              <w:rPr>
                <w:rFonts w:eastAsia="Times New Roman"/>
              </w:rPr>
              <w:br/>
              <w:t>– Медицинские услуги;</w:t>
            </w:r>
            <w:r>
              <w:rPr>
                <w:rFonts w:eastAsia="Times New Roman"/>
              </w:rPr>
              <w:br/>
              <w:t>– Услуги, оказываемые религиозными организациями;</w:t>
            </w:r>
            <w:r>
              <w:rPr>
                <w:rFonts w:eastAsia="Times New Roman"/>
              </w:rPr>
              <w:br/>
              <w:t>– Услуги по содержанию детей в школах-интернатах, граждан в домах-интернатах;</w:t>
            </w:r>
            <w:r>
              <w:rPr>
                <w:rFonts w:eastAsia="Times New Roman"/>
              </w:rPr>
              <w:br/>
              <w:t>– Услуги по перевозке пассажиров городским транспортом;</w:t>
            </w:r>
            <w:r>
              <w:rPr>
                <w:rFonts w:eastAsia="Times New Roman"/>
              </w:rPr>
              <w:br/>
              <w:t>– Бесплатная передача в государственную (коммунальную) собственность имущества;</w:t>
            </w:r>
            <w:r>
              <w:rPr>
                <w:rFonts w:eastAsia="Times New Roman"/>
              </w:rPr>
              <w:br/>
              <w:t xml:space="preserve">– </w:t>
            </w:r>
            <w:r>
              <w:rPr>
                <w:rFonts w:eastAsia="Times New Roman"/>
              </w:rPr>
              <w:lastRenderedPageBreak/>
              <w:t>Государственные платные услуги, которые оказывают органы исполнительной власти, местного самоуправления;</w:t>
            </w:r>
            <w:r>
              <w:rPr>
                <w:rFonts w:eastAsia="Times New Roman"/>
              </w:rPr>
              <w:br/>
              <w:t>– Продажа земельных участков;</w:t>
            </w:r>
            <w:r>
              <w:rPr>
                <w:rFonts w:eastAsia="Times New Roman"/>
              </w:rPr>
              <w:br/>
              <w:t>– Поставка периодических печатных изданий и учебной литературы;</w:t>
            </w:r>
            <w:r>
              <w:rPr>
                <w:rFonts w:eastAsia="Times New Roman"/>
              </w:rPr>
              <w:br/>
              <w:t>– Продажа лекарственных средств и т. 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Статья 197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– Медицинские товары по утвержденному Правительством РФ перечню;</w:t>
            </w:r>
            <w:r>
              <w:rPr>
                <w:rFonts w:eastAsia="Times New Roman"/>
              </w:rPr>
              <w:br/>
              <w:t>– Важнейшие и жизненно необходимые медицинские изделия;</w:t>
            </w:r>
            <w:r>
              <w:rPr>
                <w:rFonts w:eastAsia="Times New Roman"/>
              </w:rPr>
              <w:br/>
              <w:t>– Протезно-ортопедические изделия и технические средства для профилактики инвалидности или реабилитации инвалидов;</w:t>
            </w:r>
            <w:r>
              <w:rPr>
                <w:rFonts w:eastAsia="Times New Roman"/>
              </w:rPr>
              <w:br/>
              <w:t>– Очки, линзы и оправы для очков;</w:t>
            </w:r>
            <w:r>
              <w:rPr>
                <w:rFonts w:eastAsia="Times New Roman"/>
              </w:rPr>
              <w:br/>
              <w:t xml:space="preserve">– Медицинские </w:t>
            </w:r>
            <w:r>
              <w:rPr>
                <w:rFonts w:eastAsia="Times New Roman"/>
              </w:rPr>
              <w:lastRenderedPageBreak/>
              <w:t>услуги;</w:t>
            </w:r>
            <w:r>
              <w:rPr>
                <w:rFonts w:eastAsia="Times New Roman"/>
              </w:rPr>
              <w:br/>
              <w:t>– Образовательные услуги;</w:t>
            </w:r>
            <w:r>
              <w:rPr>
                <w:rFonts w:eastAsia="Times New Roman"/>
              </w:rPr>
              <w:br/>
              <w:t>– Перевозка пассажиров транспортом общего пользования, морским, речным, железнодорожным или автомобильным транспортом;</w:t>
            </w:r>
            <w:r>
              <w:rPr>
                <w:rFonts w:eastAsia="Times New Roman"/>
              </w:rPr>
              <w:br/>
              <w:t>– Ритуальные услуги;</w:t>
            </w:r>
            <w:r>
              <w:rPr>
                <w:rFonts w:eastAsia="Times New Roman"/>
              </w:rPr>
              <w:br/>
              <w:t>– Услуги, оказываемые организациями культуры;</w:t>
            </w:r>
            <w:r>
              <w:rPr>
                <w:rFonts w:eastAsia="Times New Roman"/>
              </w:rPr>
              <w:br/>
              <w:t>– Обслуживание морских судов, судов внутреннего плавания и судов смешанного плавания;</w:t>
            </w:r>
            <w:r>
              <w:rPr>
                <w:rFonts w:eastAsia="Times New Roman"/>
              </w:rPr>
              <w:br/>
              <w:t>– Услуги аптек по изготовлению лекарственных препаратов;</w:t>
            </w:r>
            <w:r>
              <w:rPr>
                <w:rFonts w:eastAsia="Times New Roman"/>
              </w:rPr>
              <w:br/>
              <w:t>– Реализация предметов религиозного назначения и религиозной литературы;</w:t>
            </w:r>
            <w:r>
              <w:rPr>
                <w:rFonts w:eastAsia="Times New Roman"/>
              </w:rPr>
              <w:br/>
              <w:t>– Реализация работ, услуг общественными организациями инвалидов;</w:t>
            </w:r>
            <w:r>
              <w:rPr>
                <w:rFonts w:eastAsia="Times New Roman"/>
              </w:rPr>
              <w:br/>
              <w:t>– Услуги банков;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– Выполнение научно-исследовательских, опытно-конструкторских и технологических работ;</w:t>
            </w:r>
            <w:r>
              <w:rPr>
                <w:rFonts w:eastAsia="Times New Roman"/>
              </w:rPr>
              <w:br/>
              <w:t>– Санаторно-курортные, оздоровительные услуги;</w:t>
            </w:r>
            <w:r>
              <w:rPr>
                <w:rFonts w:eastAsia="Times New Roman"/>
              </w:rPr>
              <w:br/>
              <w:t>– Реализация продукции сельхозпроизводителями;</w:t>
            </w:r>
            <w:r>
              <w:rPr>
                <w:rFonts w:eastAsia="Times New Roman"/>
              </w:rPr>
              <w:br/>
              <w:t>– Продажа жилых домов и помещений;</w:t>
            </w:r>
            <w:r>
              <w:rPr>
                <w:rFonts w:eastAsia="Times New Roman"/>
              </w:rPr>
              <w:br/>
              <w:t>– Коммунальные услуги и т. 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8B5741">
            <w:pPr>
              <w:rPr>
                <w:rFonts w:eastAsia="Times New Roman"/>
              </w:rPr>
            </w:pPr>
            <w:hyperlink r:id="rId14" w:anchor="/document/99/901765862/ZA00ML02OQ/" w:tooltip="Статья 149. Операции, не подлежащие налогообложению (освобождаемые от налогообложения)" w:history="1">
              <w:r w:rsidR="000F5B64">
                <w:rPr>
                  <w:rStyle w:val="a4"/>
                  <w:rFonts w:eastAsia="Times New Roman"/>
                </w:rPr>
                <w:t>Статья 149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 xml:space="preserve">Частично отличается перечень операций, которые освобождены от налогообложения. Например, продажа отдельных видов лекарственных средств, детского питания, печатной продукции в России облагается НДС по </w:t>
            </w:r>
            <w:r>
              <w:lastRenderedPageBreak/>
              <w:t>ставке 10 процентов</w:t>
            </w:r>
          </w:p>
          <w:p w:rsidR="008B5741" w:rsidRDefault="000F5B64">
            <w:pPr>
              <w:pStyle w:val="a3"/>
            </w:pPr>
            <w:r>
              <w:t>Не все образовательные услуги освобождаются от НДС.</w:t>
            </w:r>
          </w:p>
          <w:p w:rsidR="008B5741" w:rsidRDefault="000F5B64">
            <w:pPr>
              <w:pStyle w:val="a3"/>
            </w:pPr>
            <w:r>
              <w:t xml:space="preserve">В то же время в России в отличие от Украины освобождаются от НДС услуги организаций культуры, общественных организаций инвалидов (организаций с участием общественных организаций инвалидов), реализация коммунальных услуг в многоквартирных домах </w:t>
            </w:r>
          </w:p>
        </w:tc>
      </w:tr>
      <w:tr w:rsidR="008B5741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Общий порядок определения налоговой базы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Налоговая база определяется исходя из стоимости, указанной в договоре. В отношении контролируемых операций – не ниже обычных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Статья 188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Налоговой базой по НДС признается выручка. Размер выручки определяется исходя из всех доходов, связанных с расчетами по оплате этих товаров (работ, услуг). Если цены соответствуют рыночным, то выручку определяют исходя из цен, </w:t>
            </w:r>
            <w:r>
              <w:rPr>
                <w:rFonts w:eastAsia="Times New Roman"/>
              </w:rPr>
              <w:lastRenderedPageBreak/>
              <w:t>указанных в договоре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8B5741">
            <w:pPr>
              <w:rPr>
                <w:rFonts w:eastAsia="Times New Roman"/>
              </w:rPr>
            </w:pPr>
            <w:hyperlink r:id="rId15" w:anchor="/document/99/901765862/ZAP1P5K395/" w:tooltip="Статья 153. Налоговая база" w:history="1">
              <w:r w:rsidR="000F5B64">
                <w:rPr>
                  <w:rStyle w:val="a4"/>
                  <w:rFonts w:eastAsia="Times New Roman"/>
                </w:rPr>
                <w:t>Статья 153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Порядок совпадает</w:t>
            </w:r>
          </w:p>
        </w:tc>
      </w:tr>
      <w:tr w:rsidR="008B5741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На какую дату определять налоговую базу (налоговое обязательство)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Одна из дат, которая наступила раньше:</w:t>
            </w:r>
            <w:r>
              <w:rPr>
                <w:rFonts w:eastAsia="Times New Roman"/>
              </w:rPr>
              <w:br/>
              <w:t>– зачисления на счет плательщика НДС платы за товары (услуги);</w:t>
            </w:r>
            <w:r>
              <w:rPr>
                <w:rFonts w:eastAsia="Times New Roman"/>
              </w:rPr>
              <w:br/>
              <w:t>– отгрузки (дата оформления документа о поставке услуг)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Статья 187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Одна из дат, которая наступила раньше:</w:t>
            </w:r>
            <w:r>
              <w:rPr>
                <w:rFonts w:eastAsia="Times New Roman"/>
              </w:rPr>
              <w:br/>
              <w:t>– день отгрузки (передачи) товаров (работ, услуг);</w:t>
            </w:r>
            <w:r>
              <w:rPr>
                <w:rFonts w:eastAsia="Times New Roman"/>
              </w:rPr>
              <w:br/>
              <w:t>– день оплаты, частичной оплаты в счет предстоящих поставок товаров (выполнения работ, оказания услуг)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8B5741">
            <w:pPr>
              <w:rPr>
                <w:rFonts w:eastAsia="Times New Roman"/>
              </w:rPr>
            </w:pPr>
            <w:hyperlink r:id="rId16" w:anchor="/document/99/901765862/ZA00MJS2O3/" w:tooltip="Статья 167. Момент определения налоговой базы" w:history="1">
              <w:r w:rsidR="000F5B64">
                <w:rPr>
                  <w:rStyle w:val="a4"/>
                  <w:rFonts w:eastAsia="Times New Roman"/>
                </w:rPr>
                <w:t>Статья 167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Порядок совпадает</w:t>
            </w:r>
          </w:p>
        </w:tc>
      </w:tr>
      <w:tr w:rsidR="008B5741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Ставки налога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Основная ставка – 20 процентов.</w:t>
            </w:r>
            <w:r>
              <w:rPr>
                <w:rFonts w:eastAsia="Times New Roman"/>
              </w:rPr>
              <w:br/>
              <w:t>Льготная ставка – 0 процентов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Статьи 194, 195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 xml:space="preserve">Основная ставка – </w:t>
            </w:r>
            <w:hyperlink r:id="rId17" w:anchor="/document/117/13844/dfask62m51/" w:history="1">
              <w:r>
                <w:rPr>
                  <w:rStyle w:val="a4"/>
                </w:rPr>
                <w:t>18 процентов</w:t>
              </w:r>
            </w:hyperlink>
            <w:r>
              <w:t>.</w:t>
            </w:r>
          </w:p>
          <w:p w:rsidR="008B5741" w:rsidRDefault="000F5B64">
            <w:pPr>
              <w:pStyle w:val="a3"/>
            </w:pPr>
            <w:r>
              <w:t>Льготные ставки:</w:t>
            </w:r>
          </w:p>
          <w:p w:rsidR="008B5741" w:rsidRDefault="000F5B64">
            <w:pPr>
              <w:pStyle w:val="a3"/>
            </w:pPr>
            <w:r>
              <w:t xml:space="preserve">– </w:t>
            </w:r>
            <w:hyperlink r:id="rId18" w:anchor="/document/117/13844/dfasd9tqok/" w:history="1">
              <w:r>
                <w:rPr>
                  <w:rStyle w:val="a4"/>
                </w:rPr>
                <w:t>0 процентов</w:t>
              </w:r>
            </w:hyperlink>
            <w:r>
              <w:t>;</w:t>
            </w:r>
            <w:r>
              <w:br/>
              <w:t xml:space="preserve">– </w:t>
            </w:r>
            <w:hyperlink r:id="rId19" w:anchor="/document/117/13844/dfashbrgxn/" w:history="1">
              <w:r>
                <w:rPr>
                  <w:rStyle w:val="a4"/>
                </w:rPr>
                <w:t>10 процентов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Статьи </w:t>
            </w:r>
            <w:hyperlink r:id="rId20" w:anchor="/document/99/901765862/ZA00MEA2MM/" w:tooltip="Статья 164. Налоговые ставки" w:history="1">
              <w:r>
                <w:rPr>
                  <w:rStyle w:val="a4"/>
                  <w:rFonts w:eastAsia="Times New Roman"/>
                </w:rPr>
                <w:t>164</w:t>
              </w:r>
            </w:hyperlink>
            <w:r>
              <w:rPr>
                <w:rFonts w:eastAsia="Times New Roman"/>
              </w:rPr>
              <w:t xml:space="preserve">, </w:t>
            </w:r>
            <w:hyperlink r:id="rId21" w:anchor="/document/99/901765862/ZA00MCA2OA/" w:tooltip="Статья 165. Порядок подтверждения права на получение возмещения при налогообложении по налоговой ставке 0 процентов" w:history="1">
              <w:r>
                <w:rPr>
                  <w:rStyle w:val="a4"/>
                  <w:rFonts w:eastAsia="Times New Roman"/>
                </w:rPr>
                <w:t>165</w:t>
              </w:r>
            </w:hyperlink>
            <w:r>
              <w:rPr>
                <w:rFonts w:eastAsia="Times New Roman"/>
              </w:rPr>
              <w:t xml:space="preserve"> Налогового кодекса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Отличается перечень ставок. Подробнее см. </w:t>
            </w:r>
            <w:hyperlink r:id="rId22" w:anchor="/document/117/13844/" w:history="1">
              <w:r>
                <w:rPr>
                  <w:rStyle w:val="a4"/>
                  <w:rFonts w:eastAsia="Times New Roman"/>
                </w:rPr>
                <w:t>таблицу</w:t>
              </w:r>
            </w:hyperlink>
            <w:r>
              <w:rPr>
                <w:rFonts w:eastAsia="Times New Roman"/>
              </w:rPr>
              <w:t xml:space="preserve"> </w:t>
            </w:r>
          </w:p>
        </w:tc>
      </w:tr>
      <w:tr w:rsidR="008B5741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Порядок расчета налога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>НДС определяется как разница между налоговым обязательством и налоговым кредитом.</w:t>
            </w:r>
          </w:p>
          <w:p w:rsidR="008B5741" w:rsidRDefault="000F5B64">
            <w:pPr>
              <w:pStyle w:val="a3"/>
            </w:pPr>
            <w:r>
              <w:t xml:space="preserve">Налоговое обязательство – общая сумма налога, полученная (начисленная) </w:t>
            </w:r>
            <w:r>
              <w:lastRenderedPageBreak/>
              <w:t>плательщиком в отчетном периоде. Налоговый кредит – сумма, на которую плательщик налога имеет право уменьшить налоговое обязательство отчетного периода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Статьи 198, 199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НДС к уплате определяется как разница между суммой НДС к начислению и суммой предъявленного налога, принятого к вычету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8B5741">
            <w:pPr>
              <w:rPr>
                <w:rFonts w:eastAsia="Times New Roman"/>
              </w:rPr>
            </w:pPr>
            <w:hyperlink r:id="rId23" w:anchor="/document/99/901765862/ZA00MCO2NS/" w:tooltip="Статья 173. Сумма налога, подлежащая уплате в бюджет" w:history="1">
              <w:r w:rsidR="000F5B64">
                <w:rPr>
                  <w:rStyle w:val="a4"/>
                  <w:rFonts w:eastAsia="Times New Roman"/>
                </w:rPr>
                <w:t>Статья 173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>Порядок совпадает.</w:t>
            </w:r>
          </w:p>
          <w:p w:rsidR="008B5741" w:rsidRDefault="000F5B64">
            <w:pPr>
              <w:pStyle w:val="a3"/>
            </w:pPr>
            <w:r>
              <w:t xml:space="preserve">НДС к начислению по российским нормам – это по сути то же самое, что и налоговое обязательство по украинским положениям. </w:t>
            </w:r>
            <w:r>
              <w:lastRenderedPageBreak/>
              <w:t>А НДС к вычету – это аналог налогового кредита. По российским правилам в некоторых случаях НДС, принятый к вычету, нужно восстановить. Это аналогично тому, как начислить налоговое обязательство по украинским нормам</w:t>
            </w:r>
          </w:p>
        </w:tc>
      </w:tr>
      <w:tr w:rsidR="008B5741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Отчетный (налоговый) 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Календарный:</w:t>
            </w:r>
            <w:r>
              <w:rPr>
                <w:rFonts w:eastAsia="Times New Roman"/>
              </w:rPr>
              <w:br/>
              <w:t>– месяц;</w:t>
            </w:r>
            <w:r>
              <w:rPr>
                <w:rFonts w:eastAsia="Times New Roman"/>
              </w:rPr>
              <w:br/>
              <w:t>– квартал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Статьи 202, 203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Квартал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8B5741">
            <w:pPr>
              <w:rPr>
                <w:rFonts w:eastAsia="Times New Roman"/>
              </w:rPr>
            </w:pPr>
            <w:hyperlink r:id="rId24" w:anchor="/document/99/901765862/ZA00MMO2O4/" w:tooltip="Статья 163. Налоговый период" w:history="1">
              <w:r w:rsidR="000F5B64">
                <w:rPr>
                  <w:rStyle w:val="a4"/>
                  <w:rFonts w:eastAsia="Times New Roman"/>
                </w:rPr>
                <w:t>Статья 163 Налогового кодекса РФ</w:t>
              </w:r>
            </w:hyperlink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Некоторые организации и предприниматели станут отчитываться реже</w:t>
            </w:r>
          </w:p>
        </w:tc>
      </w:tr>
      <w:tr w:rsidR="008B5741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Срок представления декларации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 позднее 20-го числа месяца, следующего за истекшим календарным месяцем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Статья 203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 позднее 20-го числа месяца, следующего за последним месяцем истекшего квартала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8B5741">
            <w:pPr>
              <w:rPr>
                <w:rFonts w:eastAsia="Times New Roman"/>
              </w:rPr>
            </w:pPr>
            <w:hyperlink r:id="rId25" w:anchor="/document/99/901765862/ZA00M7Q2ML/" w:tooltip="Статья 174. Порядок и сроки уплаты налога в бюджет" w:history="1">
              <w:r w:rsidR="000F5B64">
                <w:rPr>
                  <w:rStyle w:val="a4"/>
                  <w:rFonts w:eastAsia="Times New Roman"/>
                </w:rPr>
                <w:t>Статья 174 Налогового кодекса РФ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B5741" w:rsidRDefault="008B5741">
            <w:pPr>
              <w:rPr>
                <w:rFonts w:eastAsia="Times New Roman"/>
              </w:rPr>
            </w:pPr>
          </w:p>
        </w:tc>
      </w:tr>
      <w:tr w:rsidR="008B5741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Сроки уплаты налога в общем </w:t>
            </w:r>
            <w:r>
              <w:rPr>
                <w:rFonts w:eastAsia="Times New Roman"/>
              </w:rPr>
              <w:lastRenderedPageBreak/>
              <w:t>случае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Не позднее 10 календарных дней после 20-го числа </w:t>
            </w:r>
            <w:r>
              <w:rPr>
                <w:rFonts w:eastAsia="Times New Roman"/>
              </w:rPr>
              <w:lastRenderedPageBreak/>
              <w:t>отчетного месяца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Статья 203 Налогового </w:t>
            </w:r>
            <w:r>
              <w:rPr>
                <w:rFonts w:eastAsia="Times New Roman"/>
              </w:rPr>
              <w:lastRenderedPageBreak/>
              <w:t>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Сумма НДС, рассчитанная по итогам квартала, перечисляется в </w:t>
            </w:r>
            <w:r>
              <w:rPr>
                <w:rFonts w:eastAsia="Times New Roman"/>
              </w:rPr>
              <w:lastRenderedPageBreak/>
              <w:t>бюджет равномерно в течение следующих трех месяцев. Сроки уплаты – не позднее 20-го числа каждого из этих месяцев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8B5741">
            <w:pPr>
              <w:rPr>
                <w:rFonts w:eastAsia="Times New Roman"/>
              </w:rPr>
            </w:pPr>
            <w:hyperlink r:id="rId26" w:anchor="/document/99/901765862/ZA00M7Q2ML/" w:tooltip="Статья 174. Порядок и сроки уплаты налога в бюджет" w:history="1">
              <w:r w:rsidR="000F5B64">
                <w:rPr>
                  <w:rStyle w:val="a4"/>
                  <w:rFonts w:eastAsia="Times New Roman"/>
                </w:rPr>
                <w:t xml:space="preserve">Статья 174 Налогового </w:t>
              </w:r>
              <w:r w:rsidR="000F5B64">
                <w:rPr>
                  <w:rStyle w:val="a4"/>
                  <w:rFonts w:eastAsia="Times New Roman"/>
                </w:rPr>
                <w:lastRenderedPageBreak/>
                <w:t>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Платить налог в бюджет надо будет так же </w:t>
            </w:r>
            <w:r>
              <w:rPr>
                <w:rFonts w:eastAsia="Times New Roman"/>
              </w:rPr>
              <w:lastRenderedPageBreak/>
              <w:t>регулярно, ежемесячно. Но в другие сроки</w:t>
            </w:r>
          </w:p>
        </w:tc>
      </w:tr>
      <w:tr w:rsidR="008B5741">
        <w:trPr>
          <w:divId w:val="1149592344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Документ – основание для начисления и расчета НДС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>– Налоговая накладная;</w:t>
            </w:r>
          </w:p>
          <w:p w:rsidR="008B5741" w:rsidRDefault="000F5B64">
            <w:pPr>
              <w:pStyle w:val="a3"/>
            </w:pPr>
            <w:r>
              <w:t>– Расчет корректировки.</w:t>
            </w:r>
          </w:p>
          <w:p w:rsidR="008B5741" w:rsidRDefault="000F5B64">
            <w:pPr>
              <w:pStyle w:val="a3"/>
            </w:pPr>
            <w:r>
              <w:t>Эти документы продавец должен зарегистрировать в едином реестре налоговых накладных. Подтверждением регистрации является квитанция.</w:t>
            </w:r>
          </w:p>
          <w:p w:rsidR="008B5741" w:rsidRDefault="000F5B64">
            <w:pPr>
              <w:pStyle w:val="a3"/>
            </w:pPr>
            <w:r>
              <w:t>Без налоговой накладной первичными документами являются:</w:t>
            </w:r>
          </w:p>
          <w:p w:rsidR="008B5741" w:rsidRDefault="000F5B64">
            <w:pPr>
              <w:pStyle w:val="a3"/>
            </w:pPr>
            <w:r>
              <w:t>– транспортный билет, счета;</w:t>
            </w:r>
          </w:p>
          <w:p w:rsidR="008B5741" w:rsidRDefault="000F5B64">
            <w:pPr>
              <w:pStyle w:val="a3"/>
            </w:pPr>
            <w:r>
              <w:t xml:space="preserve">– кассовый </w:t>
            </w:r>
            <w:r>
              <w:lastRenderedPageBreak/>
              <w:t>чек;</w:t>
            </w:r>
          </w:p>
          <w:p w:rsidR="008B5741" w:rsidRDefault="000F5B64">
            <w:pPr>
              <w:pStyle w:val="a3"/>
            </w:pPr>
            <w:r>
              <w:t xml:space="preserve">– таможенная декларация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Статья 201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pStyle w:val="a3"/>
            </w:pPr>
            <w:r>
              <w:t xml:space="preserve">– </w:t>
            </w:r>
            <w:hyperlink r:id="rId27" w:anchor="/document/140/14787/" w:history="1">
              <w:r>
                <w:rPr>
                  <w:rStyle w:val="a4"/>
                </w:rPr>
                <w:t>Счет-фактура</w:t>
              </w:r>
            </w:hyperlink>
            <w:r>
              <w:t>;</w:t>
            </w:r>
          </w:p>
          <w:p w:rsidR="008B5741" w:rsidRDefault="000F5B64">
            <w:pPr>
              <w:pStyle w:val="a3"/>
            </w:pPr>
            <w:r>
              <w:t xml:space="preserve">– </w:t>
            </w:r>
            <w:hyperlink r:id="rId28" w:anchor="/document/140/14720/" w:history="1">
              <w:r>
                <w:rPr>
                  <w:rStyle w:val="a4"/>
                </w:rPr>
                <w:t>Корректировочный счет-фактура</w:t>
              </w:r>
            </w:hyperlink>
            <w:r>
              <w:t>;</w:t>
            </w:r>
          </w:p>
          <w:p w:rsidR="008B5741" w:rsidRDefault="000F5B64">
            <w:pPr>
              <w:pStyle w:val="a3"/>
            </w:pPr>
            <w:r>
              <w:t xml:space="preserve">– </w:t>
            </w:r>
            <w:hyperlink r:id="rId29" w:anchor="/document/140/15174/" w:history="1">
              <w:r>
                <w:rPr>
                  <w:rStyle w:val="a4"/>
                </w:rPr>
                <w:t>Универсальный передаточный документ</w:t>
              </w:r>
            </w:hyperlink>
            <w:r>
              <w:t>.</w:t>
            </w:r>
          </w:p>
          <w:p w:rsidR="008B5741" w:rsidRDefault="000F5B64">
            <w:pPr>
              <w:pStyle w:val="a3"/>
            </w:pPr>
            <w:r>
              <w:t xml:space="preserve">Эти документы продавец (покупатель) должен зарегистрировать в </w:t>
            </w:r>
            <w:hyperlink r:id="rId30" w:anchor="/document/140/14200/" w:history="1">
              <w:r>
                <w:rPr>
                  <w:rStyle w:val="a4"/>
                </w:rPr>
                <w:t>книге продаж</w:t>
              </w:r>
            </w:hyperlink>
            <w:r>
              <w:t xml:space="preserve"> (</w:t>
            </w:r>
            <w:hyperlink r:id="rId31" w:anchor="/document/140/14788/" w:history="1">
              <w:r>
                <w:rPr>
                  <w:rStyle w:val="a4"/>
                </w:rPr>
                <w:t>книге покупок</w:t>
              </w:r>
            </w:hyperlink>
            <w: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8B5741">
            <w:pPr>
              <w:rPr>
                <w:rFonts w:eastAsia="Times New Roman"/>
              </w:rPr>
            </w:pPr>
            <w:hyperlink r:id="rId32" w:anchor="/document/99/901765862/ZAP1M2A35I/" w:tooltip="Статья 169. Счет-фактура" w:history="1">
              <w:r w:rsidR="000F5B64">
                <w:rPr>
                  <w:rStyle w:val="a4"/>
                  <w:rFonts w:eastAsia="Times New Roman"/>
                </w:rPr>
                <w:t>Статья 169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B5741" w:rsidRDefault="000F5B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Российские формы документов другие. Однако уже сейчас в Минфине России запланировано, что в течение переходного периода вычет в отношении товаров, перемещаемых из России в Крым и обратно, можно будет заявить на основании как российских счетов-фактур, так и украинских налоговых накладных. Согласно плану крымские </w:t>
            </w:r>
            <w:r>
              <w:rPr>
                <w:rFonts w:eastAsia="Times New Roman"/>
              </w:rPr>
              <w:lastRenderedPageBreak/>
              <w:t>компании, подавшие на возмещение НДС до 18 марта 2014 года, но денег из украинского бюджета так и не получившие, на возврат их из российской госказны рассчитывать не могут. С другой стороны, Минфин России намерен простить недоимку по НДС, накопившуюся у крымских компаний перед бюджетом Украины</w:t>
            </w:r>
          </w:p>
        </w:tc>
      </w:tr>
    </w:tbl>
    <w:p w:rsidR="000F5B64" w:rsidRDefault="000F5B64">
      <w:pPr>
        <w:divId w:val="531261452"/>
        <w:rPr>
          <w:rFonts w:eastAsia="Times New Roman"/>
        </w:rPr>
      </w:pPr>
      <w:r>
        <w:rPr>
          <w:rFonts w:eastAsia="Times New Roman"/>
        </w:rPr>
        <w:lastRenderedPageBreak/>
        <w:t>БСС «Система Главбух» 2014</w:t>
      </w:r>
    </w:p>
    <w:sectPr w:rsidR="000F5B64" w:rsidSect="008B57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noPunctuationKerning/>
  <w:characterSpacingControl w:val="doNotCompress"/>
  <w:compat/>
  <w:rsids>
    <w:rsidRoot w:val="00B14428"/>
    <w:rsid w:val="000F5B64"/>
    <w:rsid w:val="008B5741"/>
    <w:rsid w:val="008C1C09"/>
    <w:rsid w:val="00B14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http://actiondigital.ru/namespaces/system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74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B574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57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8B57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B5741"/>
    <w:rPr>
      <w:rFonts w:ascii="Consolas" w:eastAsiaTheme="minorEastAsia" w:hAnsi="Consolas"/>
    </w:rPr>
  </w:style>
  <w:style w:type="paragraph" w:customStyle="1" w:styleId="contentblock">
    <w:name w:val="content_block"/>
    <w:basedOn w:val="a"/>
    <w:rsid w:val="008B5741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rsid w:val="008B5741"/>
    <w:pPr>
      <w:spacing w:before="100" w:beforeAutospacing="1" w:after="100" w:afterAutospacing="1"/>
    </w:pPr>
    <w:rPr>
      <w:vanish/>
    </w:rPr>
  </w:style>
  <w:style w:type="paragraph" w:customStyle="1" w:styleId="content">
    <w:name w:val="content"/>
    <w:basedOn w:val="a"/>
    <w:rsid w:val="008B5741"/>
    <w:pPr>
      <w:spacing w:before="100" w:beforeAutospacing="1" w:after="100" w:afterAutospacing="1"/>
    </w:pPr>
  </w:style>
  <w:style w:type="character" w:customStyle="1" w:styleId="incut-head-control">
    <w:name w:val="incut-head-control"/>
    <w:basedOn w:val="a0"/>
    <w:rsid w:val="008B5741"/>
  </w:style>
  <w:style w:type="character" w:customStyle="1" w:styleId="incut-head-control1">
    <w:name w:val="incut-head-control1"/>
    <w:basedOn w:val="a0"/>
    <w:rsid w:val="008B5741"/>
    <w:rPr>
      <w:b/>
      <w:bCs/>
    </w:rPr>
  </w:style>
  <w:style w:type="paragraph" w:customStyle="1" w:styleId="content1">
    <w:name w:val="content1"/>
    <w:basedOn w:val="a"/>
    <w:rsid w:val="008B5741"/>
    <w:pPr>
      <w:spacing w:before="100" w:beforeAutospacing="1" w:after="100" w:afterAutospacing="1"/>
    </w:pPr>
    <w:rPr>
      <w:sz w:val="21"/>
      <w:szCs w:val="21"/>
    </w:rPr>
  </w:style>
  <w:style w:type="character" w:customStyle="1" w:styleId="incut-head-control2">
    <w:name w:val="incut-head-control2"/>
    <w:basedOn w:val="a0"/>
    <w:rsid w:val="008B5741"/>
    <w:rPr>
      <w:b/>
      <w:bCs/>
    </w:rPr>
  </w:style>
  <w:style w:type="paragraph" w:customStyle="1" w:styleId="content2">
    <w:name w:val="content2"/>
    <w:basedOn w:val="a"/>
    <w:rsid w:val="008B5741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rsid w:val="008B574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B574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B5741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0019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5884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84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59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126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gl.ru/" TargetMode="External"/><Relationship Id="rId13" Type="http://schemas.openxmlformats.org/officeDocument/2006/relationships/hyperlink" Target="http://www.1gl.ru/" TargetMode="External"/><Relationship Id="rId18" Type="http://schemas.openxmlformats.org/officeDocument/2006/relationships/hyperlink" Target="http://www.1gl.ru/" TargetMode="External"/><Relationship Id="rId26" Type="http://schemas.openxmlformats.org/officeDocument/2006/relationships/hyperlink" Target="http://www.1gl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1gl.ru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1gl.ru/" TargetMode="External"/><Relationship Id="rId12" Type="http://schemas.openxmlformats.org/officeDocument/2006/relationships/hyperlink" Target="http://www.1gl.ru/" TargetMode="External"/><Relationship Id="rId17" Type="http://schemas.openxmlformats.org/officeDocument/2006/relationships/hyperlink" Target="http://www.1gl.ru/" TargetMode="External"/><Relationship Id="rId25" Type="http://schemas.openxmlformats.org/officeDocument/2006/relationships/hyperlink" Target="http://www.1gl.ru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1gl.ru/" TargetMode="External"/><Relationship Id="rId20" Type="http://schemas.openxmlformats.org/officeDocument/2006/relationships/hyperlink" Target="http://www.1gl.ru/" TargetMode="External"/><Relationship Id="rId29" Type="http://schemas.openxmlformats.org/officeDocument/2006/relationships/hyperlink" Target="http://www.1gl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1gl.ru/" TargetMode="External"/><Relationship Id="rId11" Type="http://schemas.openxmlformats.org/officeDocument/2006/relationships/hyperlink" Target="http://www.1gl.ru/" TargetMode="External"/><Relationship Id="rId24" Type="http://schemas.openxmlformats.org/officeDocument/2006/relationships/hyperlink" Target="http://www.1gl.ru/" TargetMode="External"/><Relationship Id="rId32" Type="http://schemas.openxmlformats.org/officeDocument/2006/relationships/hyperlink" Target="http://www.1gl.ru/" TargetMode="External"/><Relationship Id="rId5" Type="http://schemas.openxmlformats.org/officeDocument/2006/relationships/hyperlink" Target="http://www.1gl.ru/" TargetMode="External"/><Relationship Id="rId15" Type="http://schemas.openxmlformats.org/officeDocument/2006/relationships/hyperlink" Target="http://www.1gl.ru/" TargetMode="External"/><Relationship Id="rId23" Type="http://schemas.openxmlformats.org/officeDocument/2006/relationships/hyperlink" Target="http://www.1gl.ru/" TargetMode="External"/><Relationship Id="rId28" Type="http://schemas.openxmlformats.org/officeDocument/2006/relationships/hyperlink" Target="http://www.1gl.ru/" TargetMode="External"/><Relationship Id="rId10" Type="http://schemas.openxmlformats.org/officeDocument/2006/relationships/hyperlink" Target="http://www.1gl.ru/" TargetMode="External"/><Relationship Id="rId19" Type="http://schemas.openxmlformats.org/officeDocument/2006/relationships/hyperlink" Target="http://www.1gl.ru/" TargetMode="External"/><Relationship Id="rId31" Type="http://schemas.openxmlformats.org/officeDocument/2006/relationships/hyperlink" Target="http://www.1gl.ru/" TargetMode="External"/><Relationship Id="rId4" Type="http://schemas.openxmlformats.org/officeDocument/2006/relationships/hyperlink" Target="http://www.1gl.ru/" TargetMode="External"/><Relationship Id="rId9" Type="http://schemas.openxmlformats.org/officeDocument/2006/relationships/hyperlink" Target="http://www.1gl.ru/" TargetMode="External"/><Relationship Id="rId14" Type="http://schemas.openxmlformats.org/officeDocument/2006/relationships/hyperlink" Target="http://www.1gl.ru/" TargetMode="External"/><Relationship Id="rId22" Type="http://schemas.openxmlformats.org/officeDocument/2006/relationships/hyperlink" Target="http://www.1gl.ru/" TargetMode="External"/><Relationship Id="rId27" Type="http://schemas.openxmlformats.org/officeDocument/2006/relationships/hyperlink" Target="http://www.1gl.ru/" TargetMode="External"/><Relationship Id="rId30" Type="http://schemas.openxmlformats.org/officeDocument/2006/relationships/hyperlink" Target="http://www.1g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2402</Words>
  <Characters>13692</Characters>
  <Application>Microsoft Office Word</Application>
  <DocSecurity>0</DocSecurity>
  <Lines>114</Lines>
  <Paragraphs>32</Paragraphs>
  <ScaleCrop>false</ScaleCrop>
  <Company>Microsoft</Company>
  <LinksUpToDate>false</LinksUpToDate>
  <CharactersWithSpaces>16062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2014-04-16T10:55:00Z</dcterms:created>
  <dcterms:modified xsi:type="dcterms:W3CDTF">2014-04-16T10:55:00Z</dcterms:modified>
</cp:coreProperties>
</file>