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5A4" w:rsidRPr="001F45A4" w:rsidRDefault="001F45A4" w:rsidP="001F45A4">
      <w:pPr>
        <w:spacing w:line="641" w:lineRule="atLeast"/>
        <w:ind w:right="3870"/>
        <w:textAlignment w:val="baseline"/>
        <w:outlineLvl w:val="0"/>
        <w:rPr>
          <w:rFonts w:ascii="Arial Black" w:eastAsia="Times New Roman" w:hAnsi="Arial Black" w:cs="Arial"/>
          <w:b/>
          <w:bCs/>
          <w:color w:val="191919"/>
          <w:kern w:val="36"/>
          <w:sz w:val="24"/>
          <w:szCs w:val="24"/>
          <w:lang w:eastAsia="ru-RU"/>
        </w:rPr>
      </w:pPr>
      <w:r w:rsidRPr="001F45A4">
        <w:rPr>
          <w:rFonts w:ascii="Arial Black" w:eastAsia="Times New Roman" w:hAnsi="Arial Black" w:cs="Arial"/>
          <w:b/>
          <w:bCs/>
          <w:color w:val="191919"/>
          <w:kern w:val="36"/>
          <w:sz w:val="24"/>
          <w:szCs w:val="24"/>
          <w:lang w:eastAsia="ru-RU"/>
        </w:rPr>
        <w:t>Главные налоговые изменения для «упрощенцев» с 2015 года</w:t>
      </w:r>
    </w:p>
    <w:p w:rsidR="001F45A4" w:rsidRPr="001F45A4" w:rsidRDefault="001F45A4" w:rsidP="001F45A4">
      <w:pPr>
        <w:spacing w:after="240" w:line="324" w:lineRule="atLeast"/>
        <w:textAlignment w:val="baseline"/>
        <w:rPr>
          <w:rFonts w:ascii="inherit" w:eastAsia="Times New Roman" w:hAnsi="inherit" w:cs="Arial"/>
          <w:color w:val="191919"/>
          <w:bdr w:val="none" w:sz="0" w:space="0" w:color="auto" w:frame="1"/>
          <w:lang w:eastAsia="ru-RU"/>
        </w:rPr>
      </w:pPr>
      <w:r w:rsidRPr="001F45A4">
        <w:rPr>
          <w:rFonts w:ascii="inherit" w:eastAsia="Times New Roman" w:hAnsi="inherit" w:cs="Arial"/>
          <w:color w:val="191919"/>
          <w:bdr w:val="none" w:sz="0" w:space="0" w:color="auto" w:frame="1"/>
          <w:lang w:eastAsia="ru-RU"/>
        </w:rPr>
        <w:t>С 1 января 2015 года вступило в силу более 150 изменений в законодательстве. Часть поправок напрямую затрагивает работу «упрощенцев». Теперь компании и предприниматели на УСН должны платить налог на имущество с недвижимости, которая включена в региональные списки. Отчетность в фонды придется сдавать всем, у кого среднесписочная численность работников за 2014 год была более 25 человек. Усложнится работа с НДС: «упрощенцам», имеющим дело с этим налогом, придется сдавать больше отчетности в электронном виде.</w:t>
      </w:r>
    </w:p>
    <w:p w:rsidR="001F45A4" w:rsidRPr="001F45A4" w:rsidRDefault="001F45A4" w:rsidP="001F45A4">
      <w:pPr>
        <w:spacing w:after="240" w:line="324" w:lineRule="atLeast"/>
        <w:textAlignment w:val="baseline"/>
        <w:rPr>
          <w:rFonts w:ascii="inherit" w:eastAsia="Times New Roman" w:hAnsi="inherit" w:cs="Arial"/>
          <w:color w:val="191919"/>
          <w:bdr w:val="none" w:sz="0" w:space="0" w:color="auto" w:frame="1"/>
          <w:lang w:eastAsia="ru-RU"/>
        </w:rPr>
      </w:pPr>
      <w:r w:rsidRPr="001F45A4">
        <w:rPr>
          <w:rFonts w:ascii="inherit" w:eastAsia="Times New Roman" w:hAnsi="inherit" w:cs="Arial"/>
          <w:color w:val="191919"/>
          <w:bdr w:val="none" w:sz="0" w:space="0" w:color="auto" w:frame="1"/>
          <w:lang w:eastAsia="ru-RU"/>
        </w:rPr>
        <w:t>Есть изменения по УСН и со знаком «плюс». Декларации по УСН и ЕНВД стали удобнее в заполнении. Подавать расчеты по формам РСВ-1 и 4-ФСС, а также декларацию по НДС нужно в более поздние сроки по сравнению с теми, что действовали в 2014 году. А благодаря новым лимитам по доходам «</w:t>
      </w:r>
      <w:proofErr w:type="spellStart"/>
      <w:r w:rsidRPr="001F45A4">
        <w:rPr>
          <w:rFonts w:ascii="inherit" w:eastAsia="Times New Roman" w:hAnsi="inherit" w:cs="Arial"/>
          <w:color w:val="191919"/>
          <w:bdr w:val="none" w:sz="0" w:space="0" w:color="auto" w:frame="1"/>
          <w:lang w:eastAsia="ru-RU"/>
        </w:rPr>
        <w:t>упрощенку</w:t>
      </w:r>
      <w:proofErr w:type="spellEnd"/>
      <w:r w:rsidRPr="001F45A4">
        <w:rPr>
          <w:rFonts w:ascii="inherit" w:eastAsia="Times New Roman" w:hAnsi="inherit" w:cs="Arial"/>
          <w:color w:val="191919"/>
          <w:bdr w:val="none" w:sz="0" w:space="0" w:color="auto" w:frame="1"/>
          <w:lang w:eastAsia="ru-RU"/>
        </w:rPr>
        <w:t>» смогут применять больше налогоплательщиков.</w:t>
      </w:r>
    </w:p>
    <w:p w:rsidR="001F45A4" w:rsidRPr="001F45A4" w:rsidRDefault="001F45A4" w:rsidP="001F45A4">
      <w:pPr>
        <w:spacing w:after="240" w:line="324" w:lineRule="atLeast"/>
        <w:textAlignment w:val="baseline"/>
        <w:rPr>
          <w:rFonts w:ascii="inherit" w:eastAsia="Times New Roman" w:hAnsi="inherit" w:cs="Arial"/>
          <w:color w:val="191919"/>
          <w:bdr w:val="none" w:sz="0" w:space="0" w:color="auto" w:frame="1"/>
          <w:lang w:eastAsia="ru-RU"/>
        </w:rPr>
      </w:pPr>
      <w:r w:rsidRPr="001F45A4">
        <w:rPr>
          <w:rFonts w:ascii="inherit" w:eastAsia="Times New Roman" w:hAnsi="inherit" w:cs="Arial"/>
          <w:color w:val="191919"/>
          <w:bdr w:val="none" w:sz="0" w:space="0" w:color="auto" w:frame="1"/>
          <w:lang w:eastAsia="ru-RU"/>
        </w:rPr>
        <w:t>Обо всех этих и других главных изменениях по УСН, которые вступили в силу в 2015 году, узнаете из нашей обзорной таблицы. Если для того или иного изменения в таблице не обозначен срок вступления в силу, значит, поправка начала действовать с 1 января 2015 года.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97"/>
        <w:gridCol w:w="2936"/>
        <w:gridCol w:w="3382"/>
        <w:gridCol w:w="2314"/>
      </w:tblGrid>
      <w:tr w:rsidR="001F45A4" w:rsidRPr="001F45A4" w:rsidTr="001F45A4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BB43E"/>
            <w:tcMar>
              <w:top w:w="9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color w:val="FFFFFF"/>
                <w:sz w:val="19"/>
                <w:szCs w:val="19"/>
                <w:bdr w:val="none" w:sz="0" w:space="0" w:color="auto" w:frame="1"/>
                <w:lang w:eastAsia="ru-RU"/>
              </w:rPr>
              <w:t>Показатель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BB43E"/>
            <w:tcMar>
              <w:top w:w="9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color w:val="FFFFFF"/>
                <w:sz w:val="19"/>
                <w:szCs w:val="19"/>
                <w:bdr w:val="none" w:sz="0" w:space="0" w:color="auto" w:frame="1"/>
                <w:lang w:eastAsia="ru-RU"/>
              </w:rPr>
              <w:t>Старая норма, действующая в 2014 году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BB43E"/>
            <w:tcMar>
              <w:top w:w="9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color w:val="FFFFFF"/>
                <w:sz w:val="19"/>
                <w:szCs w:val="19"/>
                <w:bdr w:val="none" w:sz="0" w:space="0" w:color="auto" w:frame="1"/>
                <w:lang w:eastAsia="ru-RU"/>
              </w:rPr>
              <w:t>Новая норма, вступившая в силу с 1 января 2015 года*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BB43E"/>
            <w:tcMar>
              <w:top w:w="9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color w:val="FFFFFF"/>
                <w:sz w:val="19"/>
                <w:szCs w:val="19"/>
                <w:bdr w:val="none" w:sz="0" w:space="0" w:color="auto" w:frame="1"/>
                <w:lang w:eastAsia="ru-RU"/>
              </w:rPr>
              <w:t>Ссылка на законодательство</w:t>
            </w:r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Упрощенная система налогообложения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Декларация по УСН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Декларацию по УСН за 2013 год нужно сдавать по форме, утвержденной</w:t>
            </w:r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hyperlink r:id="rId4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приказом Минфина от 22.06</w:t>
              </w:r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.</w:t>
              </w:r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2009 № 58н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«Упрощенцы» должны отчитаться за 2014 год по новой форме декларации по УСН, которая утверждена</w:t>
            </w:r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hyperlink r:id="rId5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приказом ФНС России от 04.07.2014 № ММВ-7-3/352</w:t>
              </w:r>
            </w:hyperlink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. «Упрощенцы» с объектом налогообложения доходы минус расходы заполняют титульный лист и разделы 1.2 и 2.2. Плательщики УСН с объектом налогообложения доходы сдают титульный лист и разделы 1.1 и 2.1. «Упрощенцы», получившие целевое финансирование, вместо листа 07 декларации по налогу на </w:t>
            </w:r>
            <w:proofErr w:type="spell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прибыльзаполняют</w:t>
            </w:r>
            <w:proofErr w:type="spell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раздел 3 декларации по УСН.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6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Приказ ФНС России от 04.07.2014 № ММВ-7-3/352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Лимит для применения УСН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Лимит доходов для применения УСН в 2014 году равен 64,02 млн.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«Упрощенец» (как организация, так и предприниматель) вправе в 2015 году применять УСН, пока 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доходы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начиная с 1 января 2015 года не превысят 68,82 млн. руб. С квартала, в котором в 2015 году доходы превысят эту сумму, нужно применять общую систему налогообложения, платить НДС и налог на прибыль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7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Приказ МЭР от 29.10.2014 № 685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Лимит для перехода на УСН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Лимит доходов для перехода на УСН с 1 января 2015 года для организаций равен 48,015 млн.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Для перехода на УСН с 1 января 2016 года доходы организации за 9 месяцев 2015 года не должны превышать 51,615 млн. руб. Для предпринимателей лимит, как и прежде, не установлен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8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Приказ МЭР от 29.10.2014 № 685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Учет товаров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«Упрощенец» вправе для списания расходов на товары, купленные для перепродажи, использовать один из следующих методов оценки покупных товаров: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—</w:t>
            </w:r>
            <w:r w:rsidRPr="001F45A4">
              <w:rPr>
                <w:rFonts w:ascii="MS Mincho" w:eastAsia="MS Mincho" w:hAnsi="MS Mincho" w:cs="MS Mincho"/>
                <w:sz w:val="19"/>
                <w:szCs w:val="19"/>
                <w:lang w:eastAsia="ru-RU"/>
              </w:rPr>
              <w:t> </w:t>
            </w:r>
            <w:r w:rsidRPr="001F45A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 стоимости первых по времени приобретения (ФИФО)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;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—</w:t>
            </w:r>
            <w:r w:rsidRPr="001F45A4">
              <w:rPr>
                <w:rFonts w:ascii="MS Mincho" w:eastAsia="MS Mincho" w:hAnsi="MS Mincho" w:cs="MS Mincho"/>
                <w:sz w:val="19"/>
                <w:szCs w:val="19"/>
                <w:lang w:eastAsia="ru-RU"/>
              </w:rPr>
              <w:t> </w:t>
            </w:r>
            <w:r w:rsidRPr="001F45A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по стоимости </w:t>
            </w:r>
            <w:proofErr w:type="gramStart"/>
            <w:r w:rsidRPr="001F45A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последних</w:t>
            </w:r>
            <w:proofErr w:type="gramEnd"/>
            <w:r w:rsidRPr="001F45A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 времени приобретения (ЛИФО)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;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—</w:t>
            </w:r>
            <w:r w:rsidRPr="001F45A4">
              <w:rPr>
                <w:rFonts w:ascii="MS Mincho" w:eastAsia="MS Mincho" w:hAnsi="MS Mincho" w:cs="MS Mincho"/>
                <w:sz w:val="19"/>
                <w:szCs w:val="19"/>
                <w:lang w:eastAsia="ru-RU"/>
              </w:rPr>
              <w:t> 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по средней стоимости;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— по стоимости единицы товара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Использование метода ЛИФО для определения размеров расходов запрещено. Остальные методы (ФИФО, по средней стоимости, по стоимости единицы товара) применять разрешается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9" w:anchor="XA00M942ML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Подпункт 2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пункта 2 статьи 346.17 НК РФ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Учет процентов по займам и кредитам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 2014 году «упрощенцы» могут отнести на расходы (поставить в доходы) по УСН проценты по займу или кредиту с ограничениями исходя из определенной нормы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Проценты по кредитам и займам надо учитывать в расходах (доходах) по УСН в полной сумме — без нормирования. Это касается как рублевых займов и кредитов, так и валютных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10" w:anchor="ZA00MFS2NA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Статья 269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НК РФ</w:t>
            </w:r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Единый налог на вмененный доход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Декларация по ЕНВД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Форма декларации </w:t>
            </w:r>
            <w:proofErr w:type="spell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установлена</w:t>
            </w:r>
            <w:hyperlink r:id="rId11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приказом</w:t>
              </w:r>
              <w:proofErr w:type="spellEnd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 ФНС России от 23.01.2012 № ММВ-7-3/13@</w:t>
              </w:r>
            </w:hyperlink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. За IV квартал 2014 года отчитаться надо по этой форме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Декларацию по ЕНВД начиная с отчетности за I квартал 2015 года нужно заполнять по новой форме, которая утверждена</w:t>
            </w:r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hyperlink r:id="rId12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приказом ФНС России от 04.07.2014 № ММВ-7-3/353@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13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Приказ ФНС России от 04.07.2014 № ММВ-7-3/353@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Коэффициент К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bdr w:val="none" w:sz="0" w:space="0" w:color="auto" w:frame="1"/>
                <w:vertAlign w:val="subscript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К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bdr w:val="none" w:sz="0" w:space="0" w:color="auto" w:frame="1"/>
                <w:vertAlign w:val="subscript"/>
                <w:lang w:eastAsia="ru-RU"/>
              </w:rPr>
              <w:t>1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 2014 году составляет 1,672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К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bdr w:val="none" w:sz="0" w:space="0" w:color="auto" w:frame="1"/>
                <w:vertAlign w:val="subscript"/>
                <w:lang w:eastAsia="ru-RU"/>
              </w:rPr>
              <w:t>1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по ЕНВД на 2015 год установлен в размере 1,798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14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Приказ </w:t>
              </w:r>
              <w:proofErr w:type="spellStart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МЭРот</w:t>
              </w:r>
              <w:proofErr w:type="spellEnd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 29.10.2014 № 685</w:t>
              </w:r>
            </w:hyperlink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Патентная система налогообложения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Потенциально возможный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Минимальный размер потенциально возможного дохода, с которого считается патентный налог, равен 106 700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Минимальный размер потенциально возможного дохода отменен. Субъекты РФ вправе сами определять потенциально возможный доход без минимального ограничения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15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21.07.2014 № 244-ФЗ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Сроки уплаты патентного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Если патент получен на срок до шести месяцев, налог уплачивается 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непозднее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25 календарных дней после начала действия патента. В остальных случаях — 1/3 в течение 25 календарных дней и 2/3 не позднее 30 календарных дней до дня окончания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Если патент получен на срок до шести месяцев, то налог нужно уплатить не позднее срока окончания действия патента. Если патент получен на срок от шести месяцев, 1/3 суммы налога нужно уплатить не позднее 90 календарных дней после начала действия патента. И еще 2/3 суммы налога не позднее срока окончания действия патента. Правило действует с 29 декабря.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16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29.12.2014 № 477-ФЗ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Отказ в выдаче патента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Не оговорен отказ в выдаче патента на основании не полностью заполненного заявления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Вводится новое основание для отказа в выдаче патента. В заявлении на получение патента должны быть заполнены все обязательные поля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17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21.07.2014 № 244-ФЗ</w:t>
              </w:r>
            </w:hyperlink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Торговые сборы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Новый вид налогов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Налогоплательщики не платят торговые сборы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 1 июля 2015 года в РФ налогоплательщики должны уплачивать торговый сбор, если в городах федерального значения Севастополе, Санкт-Петербурге и Москве принят соответствующий закон о торговом сборе. В столице торговый сбор введен</w:t>
            </w:r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hyperlink r:id="rId18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Законом </w:t>
              </w:r>
              <w:proofErr w:type="gramStart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г</w:t>
              </w:r>
              <w:proofErr w:type="gramEnd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. Москвы от 17.12.2014 № 62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«О торговом сборе». Торговый сбор взимается в зависимости от квадратных метров торговой площади при торговле через объекты стационарной торговой сети, развозной и разносной торговле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19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29.11.2014 № 382-ФЗ</w:t>
              </w:r>
            </w:hyperlink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,</w:t>
            </w:r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hyperlink r:id="rId20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Закон </w:t>
              </w:r>
              <w:proofErr w:type="gramStart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г</w:t>
              </w:r>
              <w:proofErr w:type="gramEnd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. Москвы от 17.12.2014 № 62</w:t>
              </w:r>
            </w:hyperlink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Имущественные налоги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proofErr w:type="spell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Уплатаналога</w:t>
            </w:r>
            <w:proofErr w:type="spell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на имущество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Организации, применяющие УСН, не уплачивают налог на имущество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Компании на УСН с 2015 года должны платить налог на имущество организаций, если их имущество включено в кадастровые списки региональных властей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21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02.04.2014 № 52-ФЗ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Экономия на уплате налога на имущество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Иностранные компании вправе платить налог на имущество только за те месяцы, в которых компании владеют имуществом. Остальные компании такого права не имеют и должны платить налог за целый год, даже если, например, купили имущество в декабре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Налог на имущество организаций в отношении объектов, право 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собственности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на которые возникло или прекратилось в течение налогового периода, исчисляется за месяцы владения имуществом, а не за весь год. Правило распространяется на все объекты недвижимого имущества и на все организации, а не только иностранные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22" w:anchor="XA00MJM2O9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Пункт 5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статьи 382 НК РФ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Закон о налоге на имущество </w:t>
            </w:r>
            <w:proofErr w:type="spell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физлиц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Физические лица уплачивают налог на имущество в соответствии </w:t>
            </w:r>
            <w:proofErr w:type="spell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</w:t>
            </w:r>
            <w:hyperlink r:id="rId23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Законом</w:t>
              </w:r>
              <w:proofErr w:type="spellEnd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 РФ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«О налогах на имущество физических лиц» от 09.12.91 № 2003-1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 1 января 2015 года налог на имущество физических лиц уплачивается на основании</w:t>
            </w:r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hyperlink r:id="rId24" w:anchor="ZAP1QDE39D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главы 32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НК РФ «Налог на имущество физических лиц». Основные льготы сохранены. Главное изменение — налог нужно платить не с инвентаризационной, а с кадастровой стоимости недвижимости, в результате чего размеры платежей возрастут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25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04.10.2014 № 284-ФЗ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Уплата налога на имущество </w:t>
            </w:r>
            <w:proofErr w:type="spell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физлиц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Предприниматели, применяющие УСН, ЕНВД и патент, не уплачивают налог на имущество физических лиц по имуществу, которое задействовано в бизнесе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Предприниматели на УСН, ЕНВД и патенте являются плательщиками налога на имущество физических лиц по имуществу, которое включено в кадастровые списки региональных властей (нужно смотреть списки, предназначенные для организаций). Налог за 2015 год уплачивается в 2016 году на основании уведомления от ФНС России. Остальные предприниматели вправе не платить новый налог на имущество по имуществу, которое они используют в бизнесе на УСН, ЕНВД или патенте. Для этого в налоговую инспекцию нужно представить заявление и документы, подтверждающие право на льготу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26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29.11.2014 № 382-ФЗ</w:t>
              </w:r>
            </w:hyperlink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lastRenderedPageBreak/>
              <w:t>Налог на добавленную стоимость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Декларация по НДС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Налогоплательщики в 2014 году отчитываются по форме декларации, утвержденной приказом Минфина России от 15.10.2009 № 104н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Начиная с отчетности за I квартал 2015 года налогоплательщики должны сдавать декларацию по НДС по новой форме, которая утверждена</w:t>
            </w:r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hyperlink r:id="rId27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приказом ФНС России от 29.10.2014 № ММВ-7-3/558@</w:t>
              </w:r>
            </w:hyperlink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. В декларации установлены новые разделы, в которых нужно показывать сведения из журнала выставленных и журнала полученных счетов-фактур по операциям на основе договоров комиссии и агентских договоров.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Кроме того, отдельный раздел должны заполнять «упрощенцы», которые добровольно выставили счета-фактуры с выделенным НДС. Там нужно указывать реквизиты счетов-фактур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28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Приказ ФНС России от 29.10.2014 № ММВ-7-3/558@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Срок сдачи декларации по НДС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Декларация по НДС сдается не позднее 20-го числа месяца, следующего за отчетным кварталом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Срок сдачи декларации по НДС — не позднее 25-го числа месяца, следующего за отчетным кварталом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29" w:anchor="XA00MAG2MT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Пункт 5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статьи 174 НК РФ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Ответственность за непредставление декларации по НДС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Если налогоплательщик сдал декларацию по НДС на бумаге, а ее по НК РФ нужно сдавать только в электронном виде, штраф составит 200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 такой же ситуации декларация по НДС, представленная на бумаге, считается несданной. Штраф по</w:t>
            </w:r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hyperlink r:id="rId30" w:anchor="ZAP1O0G39E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статье 119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НК РФ составит от 5 до 30% суммы налога, но не менее 1000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31" w:anchor="XA00MAG2MT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Пункт 5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статьи 174 НК РФ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Отчетность налоговых агентов по УСН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«Упрощенцы» — налоговые агенты должны сдавать декларацию по НДС и вести журнал учета счетов-фактур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Налоговые агенты должны сдавать декларацию по НДС на бумаге или в электронном виде. От обязанности заполнять и 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сдавать в ИФНС журнал учета счетов-фактур налоговые агенты освобождены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32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21.07.2014 № 238-ФЗ</w:t>
              </w:r>
            </w:hyperlink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,</w:t>
            </w:r>
            <w:hyperlink r:id="rId33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постановление Правительства РФ от 30.07.2014 № 735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Отчетность посредников на УСН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«Упрощенцы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»-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посредники не заполняют декларацию по НДС и журнал учета счетов-фактур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«Упрощенцы» сдают декларацию по НДС в ситуации, когда они выступают одновременно посредниками и налоговыми агентами по НДС. Форма сдачи — только электронная.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Журнал учета счетов-фактур должны вести и сдавать в ИФНС только те посредники, которые не признаются налоговыми агентами. Форма сдачи — только электронная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34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21.07.2014 № 238-ФЗ</w:t>
              </w:r>
            </w:hyperlink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,</w:t>
            </w:r>
            <w:hyperlink r:id="rId35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постановление Правительства РФ от 30.07.2014 № 735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Отчетность «упрощенцев», добровольно выставивших счет-фактуру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«Упрощенцы», добровольно выставившие </w:t>
            </w:r>
            <w:proofErr w:type="spell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конрагенту</w:t>
            </w:r>
            <w:proofErr w:type="spell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счет-фактуру, должны сдавать декларацию по НДС в электронном виде. Также необходимо вести журнал учета счетов-фактур, но сдавать его в ИФНС не нужно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«Упрощенцы», выставившие счет-фактуру, должны представить декларацию по НДС в электронном виде. Журнал учета счетов-фактур не ведется и не заполняется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36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21.07.2014 № 238-ФЗ</w:t>
              </w:r>
            </w:hyperlink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,</w:t>
            </w:r>
            <w:hyperlink r:id="rId37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постановление Правительства РФ от 30.07.2014 № 735</w:t>
              </w:r>
            </w:hyperlink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Налоги на дивиденды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Ставки налогов на дивиденды для резидентов РФ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Ставка налога на дивиденды для налоговых резидентов РФ составляет 9% по налогу на прибыль и НДФЛ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Ставка НДФЛ и налога на прибыль с дивидендов составляет 13%. Новый тариф действует для всех дивидендов, решение о выплате которых приняли в 2015 году. Облагать по ставке 13% нужно и дивиденды, выплаченные за 2014 год в 2015 году. Дивиденды за периоды 2014 года, выплаченные в 2014 году, облагаются по ставке 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38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24.11.2014 № 366-ФЗ</w:t>
              </w:r>
            </w:hyperlink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Транспортный налог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Уплата авансов по транспортному налогу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При стоимости автомобиля от 3 млн. руб. повышающий коэффициент применяется только при уплате налога. Авансовые платежи (если обязанность их уплаты установлена законом региона) уплачиваются без повышающего коэффициента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Повышающий коэффициент применяется при исчислении организациями авансовых платежей за 2015 год и транспортного налога за 2015 год. Размеры повышающих коэффициентов установлены в</w:t>
            </w:r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hyperlink r:id="rId39" w:anchor="XA00ME62NV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пункте 2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статьи 362 НК РФ. За предпринимателей, как и прежде, налог рассчитывает ИФНС без авансовых платежей (платежка придет по почте)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40" w:anchor="XA00MHG2OD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Пункт 2.1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статьи 362 НК РФ</w:t>
            </w:r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Земельный налог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Уплата земельного налога предпринимателями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Предприниматели должны самостоятельно рассчитывать земельный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Расчет земельного налога за предпринимателя должна делать инспекция. Платежка придет по почте. Декларацию предприниматели не сдают. Компании, как и прежде, обязаны самостоятельно рассчитывать авансы и налог к уплате и подавать декларацию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41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04.11.2014 № 347-ФЗ</w:t>
              </w:r>
            </w:hyperlink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Страховые взносы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Предельная база по страховым взносам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Предельная база по страховым взносам на 2014 год равна 624 000 руб. Эта база применяется по страховым взносам в ПФР, ФСС и ФФОМС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 2015 году установлены две предельные базы. По взносам в ПФР — 711 000 руб. Для взносов в ФСС лимит равен 670 000 руб.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Взносы в ФФОМС уплачиваются без ограничения предельной базы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42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Постановление Правительства РФ от 04.12.2014 № 1316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Сроки представления 4-ФСС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Расчет 4-ФСС представляется не позднее 15-го числа месяца, следующего за отчетным периодом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Расчет 4-ФСС на бумаге нужно подать не позднее 20-го числа месяца, следующего за отчетным периодом. В электронном виде — не позднее 25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noBreakHyphen/>
              <w:t>го числа месяца, следующего за отчетным периодом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43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01.12.2014 № 406-ФЗ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Сроки представления РСВ-1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Расчет РСВ-1 представляется не позднее 15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noBreakHyphen/>
              <w:t>го числа второго месяца, следующего за отчетным периодом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Расчет РСВ-1 на бумаге нужно подать не позднее 15-го числа второго месяца, следующего за отчетным периодом. В электронном виде — не позднее 20-го числа второго месяца, следующего за отчетным периодом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44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01.12.2014 № 406-ФЗ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Представление 4-ФСС в электронном виде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Отчетность в ФСС в 2014 году представляется в электронном виде, если среднесписочная численность работников 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страхователя за 2013 год составляет более 50 человек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 xml:space="preserve">Отчетность в ФСС в 2015 году представляется в электронном виде, если среднесписочная численность работников страхователя за 2014 год 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 xml:space="preserve">превышает 25 человек. Остальные страхователи вправе выбирать: либо отчитываться на бумаге, либо </w:t>
            </w:r>
            <w:proofErr w:type="spell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электронно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45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28.06.2014 № 188-ФЗ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Представление РСВ-1 в электронном виде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Отчетность в ПФР в 2014 году представляется в электронном виде, если среднесписочная численность работников страхователя за 2013 год составляет 50 человек и более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Отчетность в ФСС в 2015 году представляется в электронном виде, если среднесписочная численность работников страхователя за 2014 год составляет 25 человек и более. Остальные страхователи вправе выбирать: либо отчитываться на бумаге, либо </w:t>
            </w:r>
            <w:proofErr w:type="spell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электронно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46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28.06.2014 № 188-ФЗ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Уплата страховых взносов в рублях и копейках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Страховые взносы уплачиваются в полных рублях страхователями в рублях и копейках на личное страхование ИП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Страховые взносы уплачиваются в рублях и копейках всеми плательщиками — страхователями и на личное страхование ИП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47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28.06.2014 № 188-ФЗ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Уплата взносов в ПФР в пользу временно пребывающих иностранцев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Взносы в ПФР на выплаты временно пребывающих в РФ иностранцев начисляются, только если с ними заключен трудовой договор на срок не менее шести месяцев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Выплаты в пользу временно пребывающих иностранцев надо облагать пенсионными взносами вне зависимости от продолжительности трудового договора с ними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48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28.06.2014 № 188-ФЗ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Уплата взносов в ФСС в пользу временно пребывающих иностранцев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За временно пребывающих в РФ иностранцев не уплачиваются взносы в ФСС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Иностранные граждане и лица без гражданства, временно пребывающие в РФ, (за исключением высококвалифицированных специалистов) являются застрахованными на случай временной нетрудоспособности и в связи с материнством. Тариф взносов в ФСС с выплат в пользу таких работников составляет 1,8%. Работники вправе получать больничные, как только 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пройдет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полгода с момента начала начисления работодателем взносов в ФСС по ставке 1,8%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49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01.12.2014 № 407-ФЗ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Уплата взносов за работников-инвалидов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Взносы за работников-инвалидов уплачиваются по пониженным ставкам: 21% в ПФР, 2,4% в ФСС, 3,7% в ФФОМС. Если страхователь применяет льготный тариф и этот льготный тариф меньше ставок, предусмотренных для работников-инвалидов, то к заработной плате инвалидов применяются более льготные ставки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Взносы на зарплату работников-инвалидов начисляются по ставкам, действующим для остальных работников организации. Общий тариф — 22% в ПФР, 2,9% в ФСС, 5,1% в ФФОМС. Для «упрощенцев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»-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льготников тариф составляет 20% в ПФР (для всех работников, в том числе инвалидов), в остальные фонды взносы не уплачиваются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50" w:anchor="XA00MBG2N9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Пункт 2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статьи 58 Федерального закона от 24.07.2009 № 212-ФЗ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Взносы на личное страхование предпринимателя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Фиксированные платежи в ПФР и ФФОМС составляют соответственно 17 328,48 и 3399,05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За 2015 год не позднее 31 декабря 2015 года предприниматели должны заплатить в ПФР 18 610,8 руб. и в ФФОМС 3650,58 руб.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Кроме того, не позднее 1 апреля 2016 года предпринимателям нужно перечислить в ПФР 1% с доходов за 2015 год, превышающих 300 000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51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01.12.2014 № 408-ФЗ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Уплата взносов на личное страхование предпринимателя за периоды, когда деятельность прерывалась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Предприниматель не уплачивает взносы на свое страхование 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за полные месяцы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, когда он проходит военную службу, ухаживает за ребенком до полутора лет, инвалидом I группы, ребенком-инвалидом или лицом, достигшим возраста 80 лет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Начиная с периода 2015 года в ситуации, когда деятельность прерывалась, предприниматели вправе рассчитывать взносы по дням, а не 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по полным месяцам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прерывания деятельности, тем самым экономя на взносах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52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28.06.2014 № 188-ФЗ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Обложение взносами выходного пособия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Выходное пособие в полной сумме облагается страховыми взносами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Страховыми взносами и взносами на травматизм облагается сумма выходного пособия, которая превышает трехкратный размер среднего месячного заработка (шестикратный размер для работников Крайнего Севера и приравненных к ним местностей). Также страховыми взносами облагается компенсация руководителю, заместителям руководителя и главному бухгалтеру организации в части, превышающей трехкратный размер среднего месячного заработка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53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28.06.2014 № 188-ФЗ</w:t>
              </w:r>
            </w:hyperlink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Пособия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Единовременное пособие при рождении ребенка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13 741,99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14 497,8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54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01.12.2014 № 384-ФЗ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Пособие женщинам, вставшим на учет в медицинских учреждениях в ранние сроки беременности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515,33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543,67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55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01.12.2014 № 384-ФЗ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Минимальный размер ежемесячного пособия по уходу за ребенком до полутора лет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2576,63 руб. за первым ребенком и 5153,24 руб. за вторым и последующими детьми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2718,34 руб. и 5436,67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56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01.12.2014 № 384-ФЗ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Минимальный размер пособия по беременности и родам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25 564 руб. (при многоплодной беременности — 35 424,4 руб., осложненных родах — 28 485,6 руб.)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27 455,34 руб. (при многоплодной беременности — 38 045,26 руб., осложненных родах — 30 593,1 руб.)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57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Федеральный </w:t>
              </w:r>
              <w:proofErr w:type="spellStart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законот</w:t>
              </w:r>
              <w:proofErr w:type="spellEnd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 01.12.2014 № 408-ФЗ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Максимальный размер ежемесячного пособия по уходу за ребенком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17 990,11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19 855,82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58" w:anchor="ZAP1U3A3B7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Статья14</w:t>
              </w:r>
            </w:hyperlink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Федерального закона от 29.12.2006 № 255-ФЗ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Максимальный размер пособия по 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беременности и родам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 xml:space="preserve">207 123 руб. (при многоплодной беременности — 287 013,3 руб., осложненных родах — 230 794,2 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руб.)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 xml:space="preserve">228 603,2 руб. (при многоплодной беременности — 316 778,72 руб., осложненных родах — 254 729,28 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руб.)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59" w:anchor="ZAP1U3A3B7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Статья14</w:t>
              </w:r>
            </w:hyperlink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Федерального закона от 29.12.2006 № 255-ФЗ</w:t>
            </w:r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lastRenderedPageBreak/>
              <w:t>Трудовое законодательство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Выдача трудовых книжек работникам для назначения пенсии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Работодателям запрещено до увольнения выдавать трудовые книжки на руки работникам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Работодатель обязан выдать сотруднику оригинал трудовой книжки для оформления пенсии. При этом работодатель должен выдать книжку в течение трех рабочих дней со дня получения заявления от сотрудника.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Работник должен вернуть трудовую книжку в течение трех рабочих дней после получения из отделения Пенсионного фонда РФ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60" w:anchor="ZA00MJS2NP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Статья 62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ТК РФ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Разрешение на работу для иностранцев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Работодатель может принять безвизовых иностранцев, только если у них есть разрешение на работу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Разрешения на работу нужны только для трудоустройства иностранных граждан, прибывших в Российскую Федерацию в визовом порядке.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Безвизовых иностранцев нужно принимать на работу на основании патента, выданного Федеральной миграционной службой иностранцу.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Разрешение на работу для безвизовых иностранцев не требуется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61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24.11.2014 № 357-ФЗ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Трудовое законодательство для иностранцев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 Трудовом кодексе нет отдельной главы, регулирующей труд иностранцев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С 13 декабря 2014 года порядок заключения и расторжения договоров с иностранными работниками прописан в отдельной</w:t>
            </w:r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hyperlink r:id="rId62" w:anchor="ZA00RNG2OM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главе 50.1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ТК РФ.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 частности, в трудовом договоре с работником нужно указывать сведения о полисе добровольного медицинского страхования, реквизиты разрешения на работу или патента, разрешения на временное проживание или вида на жительство в России (если такие документы должны быть у иностранца по законодательству). Трудовой договор с иностранцем может быть расторгнут в случае аннулирования разрешения на привлечение и использование сотрудников-иностранцев, окончания срока действия разрешения на работу или патента, разрешения на временное проживание. Но в любом случае при наступлении всех этих случаев работодатель обязан отстранить работника от работы до устранения нарушения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63" w:anchor="ZA00RNG2OM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Глава 50.1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ТК РФ</w:t>
            </w:r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Налоговое администрирование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Блокировка счетов налогоплательщика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Налоговики вправе приостановить операции по счетам налогоплательщика в банке, если он не представит 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налоговую декларацию в течение 10 рабочих дней по окончании срока, предусмотренного для подачи этой декларации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 xml:space="preserve">Уточнено, что решение о приостановлении операций по счетам в банке и переводов электронных денежных средств может быть 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lastRenderedPageBreak/>
              <w:t>вынесено в течение трех лет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64" w:anchor="XA00MCA2NC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Подпункт 1</w:t>
              </w:r>
            </w:hyperlink>
            <w:r w:rsidRPr="001F45A4">
              <w:rPr>
                <w:rFonts w:ascii="inherit" w:eastAsia="Times New Roman" w:hAnsi="inherit" w:cs="Arial"/>
                <w:sz w:val="19"/>
                <w:lang w:eastAsia="ru-RU"/>
              </w:rPr>
              <w:t> </w:t>
            </w: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пункта 3 статьи 76 НК РФ</w:t>
            </w:r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lastRenderedPageBreak/>
              <w:t>Платежные поручения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Указание типа платежа в платежках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В платежных поручениях в поле 110 указывается тип платежа (налог, пени и т. д.)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Поле 110 не заполняется. Налоговики определяют тип платежа по КБК, 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указанному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в платежке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65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Приказ Минфина </w:t>
              </w:r>
              <w:proofErr w:type="spellStart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Россииот</w:t>
              </w:r>
              <w:proofErr w:type="spellEnd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 30.10.2014 № 126</w:t>
              </w:r>
            </w:hyperlink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КБК при уплате пеней и процентов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При уплате пеней и процентов по налоговым платежам в 14—17-м разрядах КБК указывается 2000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Для пеней и процентов по налоговым платежам предусмотрены разные обозначения в 14—17-м разрядах КБК.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Пени — 2100, проценты — 2200.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Для налогов сохранено значение 1000, для штрафов — 3000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66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Приказ Минфина </w:t>
              </w:r>
              <w:proofErr w:type="spellStart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Россииот</w:t>
              </w:r>
              <w:proofErr w:type="spellEnd"/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 xml:space="preserve"> 16.12.2014 № 150н</w:t>
              </w:r>
            </w:hyperlink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 xml:space="preserve">Минимальный </w:t>
            </w:r>
            <w:proofErr w:type="gramStart"/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размер оплаты труда</w:t>
            </w:r>
            <w:proofErr w:type="gramEnd"/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МРОТ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5554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5965 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67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01.12.2014 № 408-ФЗ</w:t>
              </w:r>
            </w:hyperlink>
          </w:p>
        </w:tc>
      </w:tr>
      <w:tr w:rsidR="001F45A4" w:rsidRPr="001F45A4" w:rsidTr="001F45A4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b/>
                <w:bCs/>
                <w:sz w:val="19"/>
                <w:szCs w:val="19"/>
                <w:bdr w:val="none" w:sz="0" w:space="0" w:color="auto" w:frame="1"/>
                <w:lang w:eastAsia="ru-RU"/>
              </w:rPr>
              <w:t>Налоговые каникулы</w:t>
            </w:r>
          </w:p>
        </w:tc>
      </w:tr>
      <w:tr w:rsidR="001F45A4" w:rsidRPr="001F45A4" w:rsidTr="001F45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Освобождение от обложения налогами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Законом субъекта РФ может быть снижена ставка налога на УСН при объекте доходы минус расходы с 15 до 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Регионам предоставлено право </w:t>
            </w:r>
            <w:proofErr w:type="gramStart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устанавливать</w:t>
            </w:r>
            <w:proofErr w:type="gramEnd"/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 xml:space="preserve"> для впервые зарегистрированных индивидуальных предпринимателей ставку налога по упрощенной системе налогообложения и патенту в размере 0%.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Применять нулевую ставку разрешено в течение двух налоговых периодов. Субъекты РФ могут установить ограничения на применение льготных налоговых ставок, в том числе в виде предельного размера доходов и средней численности работников. Закон вступил в силу с 29 декабря 2014 года.</w:t>
            </w:r>
          </w:p>
          <w:p w:rsidR="001F45A4" w:rsidRPr="001F45A4" w:rsidRDefault="001F45A4" w:rsidP="001F45A4">
            <w:pPr>
              <w:spacing w:after="24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r w:rsidRPr="001F45A4"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  <w:t>Право снижать ставку упрощенного налога с 15 до 5% сохранено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20" w:type="dxa"/>
              <w:bottom w:w="15" w:type="dxa"/>
              <w:right w:w="120" w:type="dxa"/>
            </w:tcMar>
            <w:vAlign w:val="bottom"/>
            <w:hideMark/>
          </w:tcPr>
          <w:p w:rsidR="001F45A4" w:rsidRPr="001F45A4" w:rsidRDefault="001F45A4" w:rsidP="001F45A4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19"/>
                <w:szCs w:val="19"/>
                <w:lang w:eastAsia="ru-RU"/>
              </w:rPr>
            </w:pPr>
            <w:hyperlink r:id="rId68" w:history="1">
              <w:r w:rsidRPr="001F45A4">
                <w:rPr>
                  <w:rFonts w:ascii="inherit" w:eastAsia="Times New Roman" w:hAnsi="inherit" w:cs="Arial"/>
                  <w:color w:val="0000FF"/>
                  <w:sz w:val="19"/>
                  <w:u w:val="single"/>
                  <w:lang w:eastAsia="ru-RU"/>
                </w:rPr>
                <w:t>Федеральный закон от 29.12.2014 № 477-ФЗ</w:t>
              </w:r>
            </w:hyperlink>
          </w:p>
        </w:tc>
      </w:tr>
    </w:tbl>
    <w:p w:rsidR="001F45A4" w:rsidRPr="001F45A4" w:rsidRDefault="001F45A4" w:rsidP="001F45A4">
      <w:pPr>
        <w:spacing w:line="240" w:lineRule="atLeast"/>
        <w:textAlignment w:val="baseline"/>
        <w:rPr>
          <w:rFonts w:ascii="Arial" w:eastAsia="Times New Roman" w:hAnsi="Arial" w:cs="Arial"/>
          <w:color w:val="191919"/>
          <w:sz w:val="18"/>
          <w:szCs w:val="18"/>
          <w:bdr w:val="none" w:sz="0" w:space="0" w:color="auto" w:frame="1"/>
          <w:lang w:eastAsia="ru-RU"/>
        </w:rPr>
      </w:pPr>
      <w:r w:rsidRPr="001F45A4">
        <w:rPr>
          <w:rFonts w:ascii="Arial" w:eastAsia="Times New Roman" w:hAnsi="Arial" w:cs="Arial"/>
          <w:color w:val="191919"/>
          <w:sz w:val="18"/>
          <w:szCs w:val="18"/>
          <w:bdr w:val="none" w:sz="0" w:space="0" w:color="auto" w:frame="1"/>
          <w:lang w:eastAsia="ru-RU"/>
        </w:rPr>
        <w:t>* Если напротив изменения не указан иной срок вступления в силу.</w:t>
      </w:r>
    </w:p>
    <w:p w:rsidR="00877DD2" w:rsidRDefault="00877DD2"/>
    <w:sectPr w:rsidR="00877DD2" w:rsidSect="001F45A4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45A4"/>
    <w:rsid w:val="001F45A4"/>
    <w:rsid w:val="00307609"/>
    <w:rsid w:val="00554E7E"/>
    <w:rsid w:val="00877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D2"/>
  </w:style>
  <w:style w:type="paragraph" w:styleId="1">
    <w:name w:val="heading 1"/>
    <w:basedOn w:val="a"/>
    <w:link w:val="10"/>
    <w:uiPriority w:val="9"/>
    <w:qFormat/>
    <w:rsid w:val="001F45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45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1F45A4"/>
  </w:style>
  <w:style w:type="character" w:styleId="a3">
    <w:name w:val="Hyperlink"/>
    <w:basedOn w:val="a0"/>
    <w:uiPriority w:val="99"/>
    <w:semiHidden/>
    <w:unhideWhenUsed/>
    <w:rsid w:val="001F45A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F4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6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9549">
          <w:marLeft w:val="360"/>
          <w:marRight w:val="0"/>
          <w:marTop w:val="0"/>
          <w:marBottom w:val="390"/>
          <w:divBdr>
            <w:top w:val="single" w:sz="6" w:space="0" w:color="808080"/>
            <w:left w:val="none" w:sz="0" w:space="0" w:color="auto"/>
            <w:bottom w:val="single" w:sz="6" w:space="11" w:color="808080"/>
            <w:right w:val="none" w:sz="0" w:space="0" w:color="auto"/>
          </w:divBdr>
          <w:divsChild>
            <w:div w:id="64620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4195">
          <w:marLeft w:val="0"/>
          <w:marRight w:val="4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204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.26-2.ru/npd-doc.aspx?npmid=99&amp;npid=420208352" TargetMode="External"/><Relationship Id="rId18" Type="http://schemas.openxmlformats.org/officeDocument/2006/relationships/hyperlink" Target="http://e.26-2.ru/npd-doc.aspx?npmid=99&amp;npid=537966919" TargetMode="External"/><Relationship Id="rId26" Type="http://schemas.openxmlformats.org/officeDocument/2006/relationships/hyperlink" Target="http://e.26-2.ru/npd-doc.aspx?npmid=99&amp;npid=420235966" TargetMode="External"/><Relationship Id="rId39" Type="http://schemas.openxmlformats.org/officeDocument/2006/relationships/hyperlink" Target="http://e.26-2.ru/npd-doc.aspx?npmid=99&amp;npid=420244837&amp;anchor=XA00ME62NV" TargetMode="External"/><Relationship Id="rId21" Type="http://schemas.openxmlformats.org/officeDocument/2006/relationships/hyperlink" Target="http://e.26-2.ru/npd-doc.aspx?npmid=99&amp;npid=499086130" TargetMode="External"/><Relationship Id="rId34" Type="http://schemas.openxmlformats.org/officeDocument/2006/relationships/hyperlink" Target="http://e.26-2.ru/npd-doc.aspx?npmid=99&amp;npid=420208799" TargetMode="External"/><Relationship Id="rId42" Type="http://schemas.openxmlformats.org/officeDocument/2006/relationships/hyperlink" Target="http://e.26-2.ru/npd-doc.aspx?npmid=99&amp;npid=420237832" TargetMode="External"/><Relationship Id="rId47" Type="http://schemas.openxmlformats.org/officeDocument/2006/relationships/hyperlink" Target="http://e.26-2.ru/npd-doc.aspx?npmid=99&amp;npid=420204126" TargetMode="External"/><Relationship Id="rId50" Type="http://schemas.openxmlformats.org/officeDocument/2006/relationships/hyperlink" Target="http://e.26-2.ru/npd-doc.aspx?npmid=99&amp;npid=902167485&amp;anchor=XA00MBG2N9" TargetMode="External"/><Relationship Id="rId55" Type="http://schemas.openxmlformats.org/officeDocument/2006/relationships/hyperlink" Target="http://e.26-2.ru/npd-doc.aspx?npmid=99&amp;npid=420235102" TargetMode="External"/><Relationship Id="rId63" Type="http://schemas.openxmlformats.org/officeDocument/2006/relationships/hyperlink" Target="http://e.26-2.ru/npd-doc.aspx?npmid=99&amp;npid=901807664&amp;anchor=ZA00RNG2OM" TargetMode="External"/><Relationship Id="rId68" Type="http://schemas.openxmlformats.org/officeDocument/2006/relationships/hyperlink" Target="http://e.26-2.ru/npd-doc.aspx?npmid=99&amp;npid=420243013" TargetMode="External"/><Relationship Id="rId7" Type="http://schemas.openxmlformats.org/officeDocument/2006/relationships/hyperlink" Target="http://e.26-2.ru/npd-doc.aspx?npmid=99&amp;npid=420233786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.26-2.ru/npd-doc.aspx?npmid=99&amp;npid=420243013" TargetMode="External"/><Relationship Id="rId29" Type="http://schemas.openxmlformats.org/officeDocument/2006/relationships/hyperlink" Target="http://e.26-2.ru/npd-doc.aspx?npmid=99&amp;npid=420244837&amp;anchor=XA00MAG2MT" TargetMode="External"/><Relationship Id="rId1" Type="http://schemas.openxmlformats.org/officeDocument/2006/relationships/styles" Target="styles.xml"/><Relationship Id="rId6" Type="http://schemas.openxmlformats.org/officeDocument/2006/relationships/hyperlink" Target="http://e.26-2.ru/npd-doc.aspx?npmid=99&amp;npid=420208381" TargetMode="External"/><Relationship Id="rId11" Type="http://schemas.openxmlformats.org/officeDocument/2006/relationships/hyperlink" Target="http://e.26-2.ru/npd-doc.aspx?npmid=99&amp;npid=902325542" TargetMode="External"/><Relationship Id="rId24" Type="http://schemas.openxmlformats.org/officeDocument/2006/relationships/hyperlink" Target="http://e.26-2.ru/npd-doc.aspx?npmid=99&amp;npid=420244837&amp;anchor=ZAP1QDE39D" TargetMode="External"/><Relationship Id="rId32" Type="http://schemas.openxmlformats.org/officeDocument/2006/relationships/hyperlink" Target="http://e.26-2.ru/npd-doc.aspx?npmid=99&amp;npid=420208799" TargetMode="External"/><Relationship Id="rId37" Type="http://schemas.openxmlformats.org/officeDocument/2006/relationships/hyperlink" Target="http://e.26-2.ru/npd-doc.aspx?npmid=99&amp;npid=420211993" TargetMode="External"/><Relationship Id="rId40" Type="http://schemas.openxmlformats.org/officeDocument/2006/relationships/hyperlink" Target="http://e.26-2.ru/npd-doc.aspx?npmid=99&amp;npid=420244837&amp;anchor=XA00MHG2OD" TargetMode="External"/><Relationship Id="rId45" Type="http://schemas.openxmlformats.org/officeDocument/2006/relationships/hyperlink" Target="http://e.26-2.ru/npd-doc.aspx?npmid=99&amp;npid=420204126" TargetMode="External"/><Relationship Id="rId53" Type="http://schemas.openxmlformats.org/officeDocument/2006/relationships/hyperlink" Target="http://e.26-2.ru/npd-doc.aspx?npmid=99&amp;npid=420204126" TargetMode="External"/><Relationship Id="rId58" Type="http://schemas.openxmlformats.org/officeDocument/2006/relationships/hyperlink" Target="http://e.26-2.ru/npd-doc.aspx?npmid=99&amp;npid=902021708&amp;anchor=ZAP1U3A3B7" TargetMode="External"/><Relationship Id="rId66" Type="http://schemas.openxmlformats.org/officeDocument/2006/relationships/hyperlink" Target="http://e.26-2.ru/npd-doc.aspx?npmid=99&amp;npid=420240248" TargetMode="External"/><Relationship Id="rId5" Type="http://schemas.openxmlformats.org/officeDocument/2006/relationships/hyperlink" Target="http://e.26-2.ru/npd-doc.aspx?npmid=99&amp;npid=420208381" TargetMode="External"/><Relationship Id="rId15" Type="http://schemas.openxmlformats.org/officeDocument/2006/relationships/hyperlink" Target="http://e.26-2.ru/npd-doc.aspx?npmid=99&amp;npid=420208794" TargetMode="External"/><Relationship Id="rId23" Type="http://schemas.openxmlformats.org/officeDocument/2006/relationships/hyperlink" Target="http://e.26-2.ru/npd-doc.aspx?npmid=99&amp;npid=420240052" TargetMode="External"/><Relationship Id="rId28" Type="http://schemas.openxmlformats.org/officeDocument/2006/relationships/hyperlink" Target="http://e.26-2.ru/npd-doc.aspx?npmid=99&amp;npid=420233771" TargetMode="External"/><Relationship Id="rId36" Type="http://schemas.openxmlformats.org/officeDocument/2006/relationships/hyperlink" Target="http://e.26-2.ru/npd-doc.aspx?npmid=99&amp;npid=420208799" TargetMode="External"/><Relationship Id="rId49" Type="http://schemas.openxmlformats.org/officeDocument/2006/relationships/hyperlink" Target="http://e.26-2.ru/npd-doc.aspx?npmid=99&amp;npid=420236216" TargetMode="External"/><Relationship Id="rId57" Type="http://schemas.openxmlformats.org/officeDocument/2006/relationships/hyperlink" Target="http://e.26-2.ru/npd-doc.aspx?npmid=99&amp;npid=420236215" TargetMode="External"/><Relationship Id="rId61" Type="http://schemas.openxmlformats.org/officeDocument/2006/relationships/hyperlink" Target="http://e.26-2.ru/npd-doc.aspx?npmid=99&amp;npid=420234961" TargetMode="External"/><Relationship Id="rId10" Type="http://schemas.openxmlformats.org/officeDocument/2006/relationships/hyperlink" Target="http://e.26-2.ru/npd-doc.aspx?npmid=99&amp;npid=420244837&amp;anchor=ZA00MFS2NA" TargetMode="External"/><Relationship Id="rId19" Type="http://schemas.openxmlformats.org/officeDocument/2006/relationships/hyperlink" Target="http://e.26-2.ru/npd-doc.aspx?npmid=99&amp;npid=420235966" TargetMode="External"/><Relationship Id="rId31" Type="http://schemas.openxmlformats.org/officeDocument/2006/relationships/hyperlink" Target="http://e.26-2.ru/npd-doc.aspx?npmid=99&amp;npid=420244837&amp;anchor=XA00MAG2MT" TargetMode="External"/><Relationship Id="rId44" Type="http://schemas.openxmlformats.org/officeDocument/2006/relationships/hyperlink" Target="http://e.26-2.ru/npd-doc.aspx?npmid=99&amp;npid=420236217" TargetMode="External"/><Relationship Id="rId52" Type="http://schemas.openxmlformats.org/officeDocument/2006/relationships/hyperlink" Target="http://e.26-2.ru/npd-doc.aspx?npmid=99&amp;npid=420204126" TargetMode="External"/><Relationship Id="rId60" Type="http://schemas.openxmlformats.org/officeDocument/2006/relationships/hyperlink" Target="http://e.26-2.ru/npd-doc.aspx?npmid=99&amp;npid=901807664&amp;anchor=ZA00MJS2NP" TargetMode="External"/><Relationship Id="rId65" Type="http://schemas.openxmlformats.org/officeDocument/2006/relationships/hyperlink" Target="http://e.26-2.ru/npd-doc.aspx?npmid=99&amp;npid=420231417" TargetMode="External"/><Relationship Id="rId4" Type="http://schemas.openxmlformats.org/officeDocument/2006/relationships/hyperlink" Target="http://e.26-2.ru/npd-doc.aspx?npmid=99&amp;npid=902170301" TargetMode="External"/><Relationship Id="rId9" Type="http://schemas.openxmlformats.org/officeDocument/2006/relationships/hyperlink" Target="http://e.26-2.ru/npd-doc.aspx?npmid=99&amp;npid=420244837&amp;anchor=XA00M942ML" TargetMode="External"/><Relationship Id="rId14" Type="http://schemas.openxmlformats.org/officeDocument/2006/relationships/hyperlink" Target="http://e.26-2.ru/npd-doc.aspx?npmid=99&amp;npid=420233786" TargetMode="External"/><Relationship Id="rId22" Type="http://schemas.openxmlformats.org/officeDocument/2006/relationships/hyperlink" Target="http://e.26-2.ru/npd-doc.aspx?npmid=99&amp;npid=420244837&amp;anchor=XA00MJM2O9" TargetMode="External"/><Relationship Id="rId27" Type="http://schemas.openxmlformats.org/officeDocument/2006/relationships/hyperlink" Target="http://e.26-2.ru/npd-doc.aspx?npmid=99&amp;npid=420233771" TargetMode="External"/><Relationship Id="rId30" Type="http://schemas.openxmlformats.org/officeDocument/2006/relationships/hyperlink" Target="http://e.26-2.ru/npd-doc.aspx?npmid=99&amp;npid=901714421&amp;anchor=ZAP1O0G39E" TargetMode="External"/><Relationship Id="rId35" Type="http://schemas.openxmlformats.org/officeDocument/2006/relationships/hyperlink" Target="http://e.26-2.ru/npd-doc.aspx?npmid=99&amp;npid=420211993" TargetMode="External"/><Relationship Id="rId43" Type="http://schemas.openxmlformats.org/officeDocument/2006/relationships/hyperlink" Target="http://e.26-2.ru/npd-doc.aspx?npmid=99&amp;npid=420236217" TargetMode="External"/><Relationship Id="rId48" Type="http://schemas.openxmlformats.org/officeDocument/2006/relationships/hyperlink" Target="http://e.26-2.ru/npd-doc.aspx?npmid=99&amp;npid=420204126" TargetMode="External"/><Relationship Id="rId56" Type="http://schemas.openxmlformats.org/officeDocument/2006/relationships/hyperlink" Target="http://e.26-2.ru/npd-doc.aspx?npmid=99&amp;npid=420235102" TargetMode="External"/><Relationship Id="rId64" Type="http://schemas.openxmlformats.org/officeDocument/2006/relationships/hyperlink" Target="http://e.26-2.ru/npd-doc.aspx?npmid=99&amp;npid=901714421&amp;anchor=XA00MCA2NC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://e.26-2.ru/npd-doc.aspx?npmid=99&amp;npid=420233786" TargetMode="External"/><Relationship Id="rId51" Type="http://schemas.openxmlformats.org/officeDocument/2006/relationships/hyperlink" Target="http://e.26-2.ru/npd-doc.aspx?npmid=99&amp;npid=42023621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.26-2.ru/npd-doc.aspx?npmid=99&amp;npid=420208352" TargetMode="External"/><Relationship Id="rId17" Type="http://schemas.openxmlformats.org/officeDocument/2006/relationships/hyperlink" Target="http://e.26-2.ru/npd-doc.aspx?npmid=99&amp;npid=420208794" TargetMode="External"/><Relationship Id="rId25" Type="http://schemas.openxmlformats.org/officeDocument/2006/relationships/hyperlink" Target="http://e.26-2.ru/npd-doc.aspx?npmid=99&amp;npid=420224536" TargetMode="External"/><Relationship Id="rId33" Type="http://schemas.openxmlformats.org/officeDocument/2006/relationships/hyperlink" Target="http://e.26-2.ru/npd-doc.aspx?npmid=99&amp;npid=420211993" TargetMode="External"/><Relationship Id="rId38" Type="http://schemas.openxmlformats.org/officeDocument/2006/relationships/hyperlink" Target="http://e.26-2.ru/npd-doc.aspx?npmid=99&amp;npid=420234957" TargetMode="External"/><Relationship Id="rId46" Type="http://schemas.openxmlformats.org/officeDocument/2006/relationships/hyperlink" Target="http://e.26-2.ru/npd-doc.aspx?npmid=99&amp;npid=420204126" TargetMode="External"/><Relationship Id="rId59" Type="http://schemas.openxmlformats.org/officeDocument/2006/relationships/hyperlink" Target="http://e.26-2.ru/npd-doc.aspx?npmid=99&amp;npid=902021708&amp;anchor=ZAP1U3A3B7" TargetMode="External"/><Relationship Id="rId67" Type="http://schemas.openxmlformats.org/officeDocument/2006/relationships/hyperlink" Target="http://e.26-2.ru/npd-doc.aspx?npmid=99&amp;npid=420236215" TargetMode="External"/><Relationship Id="rId20" Type="http://schemas.openxmlformats.org/officeDocument/2006/relationships/hyperlink" Target="http://e.26-2.ru/npd-doc.aspx?npmid=99&amp;npid=537966919" TargetMode="External"/><Relationship Id="rId41" Type="http://schemas.openxmlformats.org/officeDocument/2006/relationships/hyperlink" Target="http://e.26-2.ru/npd-doc.aspx?npmid=99&amp;npid=420229981" TargetMode="External"/><Relationship Id="rId54" Type="http://schemas.openxmlformats.org/officeDocument/2006/relationships/hyperlink" Target="http://e.26-2.ru/npd-doc.aspx?npmid=99&amp;npid=420235102" TargetMode="External"/><Relationship Id="rId62" Type="http://schemas.openxmlformats.org/officeDocument/2006/relationships/hyperlink" Target="http://e.26-2.ru/npd-doc.aspx?npmid=99&amp;npid=901807664&amp;anchor=ZA00RNG2OM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4263</Words>
  <Characters>24303</Characters>
  <Application>Microsoft Office Word</Application>
  <DocSecurity>0</DocSecurity>
  <Lines>202</Lines>
  <Paragraphs>57</Paragraphs>
  <ScaleCrop>false</ScaleCrop>
  <Company>LeDimore</Company>
  <LinksUpToDate>false</LinksUpToDate>
  <CharactersWithSpaces>28509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1</cp:revision>
  <dcterms:created xsi:type="dcterms:W3CDTF">2015-02-05T06:37:00Z</dcterms:created>
  <dcterms:modified xsi:type="dcterms:W3CDTF">2015-02-05T06:45:00Z</dcterms:modified>
</cp:coreProperties>
</file>