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3A2" w:rsidRDefault="006863A2">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4" w:history="1">
        <w:r>
          <w:rPr>
            <w:rFonts w:ascii="Calibri" w:hAnsi="Calibri" w:cs="Calibri"/>
            <w:color w:val="0000FF"/>
          </w:rPr>
          <w:t>КонсультантПлюс</w:t>
        </w:r>
      </w:hyperlink>
      <w:r>
        <w:rPr>
          <w:rFonts w:ascii="Calibri" w:hAnsi="Calibri" w:cs="Calibri"/>
        </w:rPr>
        <w:br/>
      </w:r>
    </w:p>
    <w:p w:rsidR="006863A2" w:rsidRDefault="006863A2">
      <w:pPr>
        <w:widowControl w:val="0"/>
        <w:autoSpaceDE w:val="0"/>
        <w:autoSpaceDN w:val="0"/>
        <w:adjustRightInd w:val="0"/>
        <w:spacing w:after="0" w:line="240" w:lineRule="auto"/>
        <w:jc w:val="both"/>
        <w:outlineLvl w:val="0"/>
        <w:rPr>
          <w:rFonts w:ascii="Calibri" w:hAnsi="Calibri" w:cs="Calibri"/>
        </w:rPr>
      </w:pPr>
    </w:p>
    <w:p w:rsidR="006863A2" w:rsidRDefault="006863A2">
      <w:pPr>
        <w:widowControl w:val="0"/>
        <w:autoSpaceDE w:val="0"/>
        <w:autoSpaceDN w:val="0"/>
        <w:adjustRightInd w:val="0"/>
        <w:spacing w:after="0" w:line="240" w:lineRule="auto"/>
        <w:jc w:val="right"/>
        <w:rPr>
          <w:rFonts w:ascii="Calibri" w:hAnsi="Calibri" w:cs="Calibri"/>
        </w:rPr>
      </w:pPr>
      <w:r>
        <w:rPr>
          <w:rFonts w:ascii="Calibri" w:hAnsi="Calibri" w:cs="Calibri"/>
        </w:rPr>
        <w:t>"Пищевая промышленность: бухгалтерский учет и налогообложение", 2015, N 4</w:t>
      </w:r>
    </w:p>
    <w:p w:rsidR="006863A2" w:rsidRDefault="006863A2">
      <w:pPr>
        <w:widowControl w:val="0"/>
        <w:autoSpaceDE w:val="0"/>
        <w:autoSpaceDN w:val="0"/>
        <w:adjustRightInd w:val="0"/>
        <w:spacing w:after="0" w:line="240" w:lineRule="auto"/>
        <w:jc w:val="both"/>
        <w:rPr>
          <w:rFonts w:ascii="Calibri" w:hAnsi="Calibri" w:cs="Calibri"/>
        </w:rPr>
      </w:pPr>
    </w:p>
    <w:p w:rsidR="006863A2" w:rsidRDefault="006863A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ФИНАНСОВАЯ АРЕНДА: НАСТРАИВАЕМСЯ НА НОВЫЙ ЛАД</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конце 2014 г. отменена законодательная норма (</w:t>
      </w:r>
      <w:hyperlink r:id="rId5" w:history="1">
        <w:r>
          <w:rPr>
            <w:rFonts w:ascii="Calibri" w:hAnsi="Calibri" w:cs="Calibri"/>
            <w:color w:val="0000FF"/>
          </w:rPr>
          <w:t>ст. 31</w:t>
        </w:r>
      </w:hyperlink>
      <w:r>
        <w:rPr>
          <w:rFonts w:ascii="Calibri" w:hAnsi="Calibri" w:cs="Calibri"/>
        </w:rPr>
        <w:t xml:space="preserve"> Закона N 164-ФЗ </w:t>
      </w:r>
      <w:hyperlink w:anchor="Par7" w:history="1">
        <w:r>
          <w:rPr>
            <w:rFonts w:ascii="Calibri" w:hAnsi="Calibri" w:cs="Calibri"/>
            <w:color w:val="0000FF"/>
          </w:rPr>
          <w:t>&lt;1&gt;</w:t>
        </w:r>
      </w:hyperlink>
      <w:r>
        <w:rPr>
          <w:rFonts w:ascii="Calibri" w:hAnsi="Calibri" w:cs="Calibri"/>
        </w:rPr>
        <w:t xml:space="preserve">), позволявшая сторонам договора финансовой аренды (лизинга) по взаимной договоренности определять балансодержателя предмета лизинга. Для целей бухгалтерского учета и налогового учета эта </w:t>
      </w:r>
      <w:hyperlink r:id="rId6" w:history="1">
        <w:r>
          <w:rPr>
            <w:rFonts w:ascii="Calibri" w:hAnsi="Calibri" w:cs="Calibri"/>
            <w:color w:val="0000FF"/>
          </w:rPr>
          <w:t>норма</w:t>
        </w:r>
      </w:hyperlink>
      <w:r>
        <w:rPr>
          <w:rFonts w:ascii="Calibri" w:hAnsi="Calibri" w:cs="Calibri"/>
        </w:rPr>
        <w:t xml:space="preserve"> прежде имела определяющее значение. А что теперь? Какими правилами следует руководствоваться при отражении лизинговых операций в бухгалтерском учете? Размышления на данную тему читайте в статье.</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bookmarkStart w:id="0" w:name="Par7"/>
      <w:bookmarkEnd w:id="0"/>
      <w:r>
        <w:rPr>
          <w:rFonts w:ascii="Calibri" w:hAnsi="Calibri" w:cs="Calibri"/>
        </w:rPr>
        <w:t xml:space="preserve">&lt;1&gt; Федеральный </w:t>
      </w:r>
      <w:hyperlink r:id="rId7" w:history="1">
        <w:r>
          <w:rPr>
            <w:rFonts w:ascii="Calibri" w:hAnsi="Calibri" w:cs="Calibri"/>
            <w:color w:val="0000FF"/>
          </w:rPr>
          <w:t>закон</w:t>
        </w:r>
      </w:hyperlink>
      <w:r>
        <w:rPr>
          <w:rFonts w:ascii="Calibri" w:hAnsi="Calibri" w:cs="Calibri"/>
        </w:rPr>
        <w:t xml:space="preserve"> от 29.10.1998 N 164-ФЗ "О финансовой аренде (лизинге)".</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jc w:val="center"/>
        <w:outlineLvl w:val="0"/>
        <w:rPr>
          <w:rFonts w:ascii="Calibri" w:hAnsi="Calibri" w:cs="Calibri"/>
        </w:rPr>
      </w:pPr>
      <w:bookmarkStart w:id="1" w:name="Par9"/>
      <w:bookmarkEnd w:id="1"/>
      <w:r>
        <w:rPr>
          <w:rFonts w:ascii="Calibri" w:hAnsi="Calibri" w:cs="Calibri"/>
        </w:rPr>
        <w:t>Законодательная новация</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Правовые и организационно-экономические особенности лизинга определены положениями </w:t>
      </w:r>
      <w:hyperlink r:id="rId8" w:history="1">
        <w:r>
          <w:rPr>
            <w:rFonts w:ascii="Calibri" w:hAnsi="Calibri" w:cs="Calibri"/>
            <w:color w:val="0000FF"/>
          </w:rPr>
          <w:t>Закона</w:t>
        </w:r>
      </w:hyperlink>
      <w:r>
        <w:rPr>
          <w:rFonts w:ascii="Calibri" w:hAnsi="Calibri" w:cs="Calibri"/>
        </w:rPr>
        <w:t xml:space="preserve"> N 164-ФЗ.</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 недавнего времени названный Закон содержал </w:t>
      </w:r>
      <w:hyperlink r:id="rId9" w:history="1">
        <w:r>
          <w:rPr>
            <w:rFonts w:ascii="Calibri" w:hAnsi="Calibri" w:cs="Calibri"/>
            <w:color w:val="0000FF"/>
          </w:rPr>
          <w:t>ст. 31</w:t>
        </w:r>
      </w:hyperlink>
      <w:r>
        <w:rPr>
          <w:rFonts w:ascii="Calibri" w:hAnsi="Calibri" w:cs="Calibri"/>
        </w:rPr>
        <w:t>, которая позволяла лизингополучателю и лизингодателю по взаимному согласию решить, на чьем балансе будет учитываться предмет лизинга, кто будет начислять по нему амортизацию, в том числе ускоренную. У балансодержателя предмет лизинга (движимое имущество) облагался налогом на имущество, если был поставлен на баланс до 1 января 2013 г. (</w:t>
      </w:r>
      <w:hyperlink r:id="rId10" w:history="1">
        <w:r>
          <w:rPr>
            <w:rFonts w:ascii="Calibri" w:hAnsi="Calibri" w:cs="Calibri"/>
            <w:color w:val="0000FF"/>
          </w:rPr>
          <w:t>Письмо</w:t>
        </w:r>
      </w:hyperlink>
      <w:r>
        <w:rPr>
          <w:rFonts w:ascii="Calibri" w:hAnsi="Calibri" w:cs="Calibri"/>
        </w:rPr>
        <w:t xml:space="preserve"> Минфина России от 11.09.2013 N 03-05-05-01/37418). В целях налогообложения прибыли предмет лизинга включался в соответствующую амортизационную группу (подгруппу) той стороной, у которой он должен был учитываться в соответствии с условиями договора лизинга (</w:t>
      </w:r>
      <w:hyperlink r:id="rId11" w:history="1">
        <w:r>
          <w:rPr>
            <w:rFonts w:ascii="Calibri" w:hAnsi="Calibri" w:cs="Calibri"/>
            <w:color w:val="0000FF"/>
          </w:rPr>
          <w:t>п. 10 ст. 258</w:t>
        </w:r>
      </w:hyperlink>
      <w:r>
        <w:rPr>
          <w:rFonts w:ascii="Calibri" w:hAnsi="Calibri" w:cs="Calibri"/>
        </w:rPr>
        <w:t xml:space="preserve"> НК РФ).</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16 ноября 2014 г. </w:t>
      </w:r>
      <w:hyperlink r:id="rId12" w:history="1">
        <w:r>
          <w:rPr>
            <w:rFonts w:ascii="Calibri" w:hAnsi="Calibri" w:cs="Calibri"/>
            <w:color w:val="0000FF"/>
          </w:rPr>
          <w:t>ст. 31</w:t>
        </w:r>
      </w:hyperlink>
      <w:r>
        <w:rPr>
          <w:rFonts w:ascii="Calibri" w:hAnsi="Calibri" w:cs="Calibri"/>
        </w:rPr>
        <w:t xml:space="preserve"> Закона N 164-ФЗ на основании </w:t>
      </w:r>
      <w:hyperlink r:id="rId13" w:history="1">
        <w:r>
          <w:rPr>
            <w:rFonts w:ascii="Calibri" w:hAnsi="Calibri" w:cs="Calibri"/>
            <w:color w:val="0000FF"/>
          </w:rPr>
          <w:t>ст. 13</w:t>
        </w:r>
      </w:hyperlink>
      <w:r>
        <w:rPr>
          <w:rFonts w:ascii="Calibri" w:hAnsi="Calibri" w:cs="Calibri"/>
        </w:rPr>
        <w:t xml:space="preserve"> Закона N 344-ФЗ </w:t>
      </w:r>
      <w:hyperlink w:anchor="Par15" w:history="1">
        <w:r>
          <w:rPr>
            <w:rFonts w:ascii="Calibri" w:hAnsi="Calibri" w:cs="Calibri"/>
            <w:color w:val="0000FF"/>
          </w:rPr>
          <w:t>&lt;2&gt;</w:t>
        </w:r>
      </w:hyperlink>
      <w:r>
        <w:rPr>
          <w:rFonts w:ascii="Calibri" w:hAnsi="Calibri" w:cs="Calibri"/>
        </w:rPr>
        <w:t xml:space="preserve"> утратила силу. Следовательно, с указанной даты на предметы лизинга распространяются общие требования к учету объектов основных средств, переданных и полученных по договорам аренды. Ведь в силу </w:t>
      </w:r>
      <w:hyperlink r:id="rId14" w:history="1">
        <w:r>
          <w:rPr>
            <w:rFonts w:ascii="Calibri" w:hAnsi="Calibri" w:cs="Calibri"/>
            <w:color w:val="0000FF"/>
          </w:rPr>
          <w:t>ст. 625</w:t>
        </w:r>
      </w:hyperlink>
      <w:r>
        <w:rPr>
          <w:rFonts w:ascii="Calibri" w:hAnsi="Calibri" w:cs="Calibri"/>
        </w:rPr>
        <w:t xml:space="preserve"> ГК РФ финансовая аренда представляет собой одну из разновидностей договора аренды. А согласно </w:t>
      </w:r>
      <w:hyperlink r:id="rId15" w:history="1">
        <w:r>
          <w:rPr>
            <w:rFonts w:ascii="Calibri" w:hAnsi="Calibri" w:cs="Calibri"/>
            <w:color w:val="0000FF"/>
          </w:rPr>
          <w:t>п. 4 ст. 421</w:t>
        </w:r>
      </w:hyperlink>
      <w:r>
        <w:rPr>
          <w:rFonts w:ascii="Calibri" w:hAnsi="Calibri" w:cs="Calibri"/>
        </w:rPr>
        <w:t xml:space="preserve"> ГК РФ стороны договора вправе определять условия договора по своему усмотрению (кроме случаев, когда содержание соответствующего условия предписано законом или иными правовыми актами (</w:t>
      </w:r>
      <w:hyperlink r:id="rId16" w:history="1">
        <w:r>
          <w:rPr>
            <w:rFonts w:ascii="Calibri" w:hAnsi="Calibri" w:cs="Calibri"/>
            <w:color w:val="0000FF"/>
          </w:rPr>
          <w:t>ст. 422</w:t>
        </w:r>
      </w:hyperlink>
      <w:r>
        <w:rPr>
          <w:rFonts w:ascii="Calibri" w:hAnsi="Calibri" w:cs="Calibri"/>
        </w:rPr>
        <w:t xml:space="preserve"> ГК РФ)).</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bookmarkStart w:id="2" w:name="Par15"/>
      <w:bookmarkEnd w:id="2"/>
      <w:r>
        <w:rPr>
          <w:rFonts w:ascii="Calibri" w:hAnsi="Calibri" w:cs="Calibri"/>
        </w:rPr>
        <w:t xml:space="preserve">&lt;2&gt; Федеральный </w:t>
      </w:r>
      <w:hyperlink r:id="rId17" w:history="1">
        <w:r>
          <w:rPr>
            <w:rFonts w:ascii="Calibri" w:hAnsi="Calibri" w:cs="Calibri"/>
            <w:color w:val="0000FF"/>
          </w:rPr>
          <w:t>закон</w:t>
        </w:r>
      </w:hyperlink>
      <w:r>
        <w:rPr>
          <w:rFonts w:ascii="Calibri" w:hAnsi="Calibri" w:cs="Calibri"/>
        </w:rPr>
        <w:t xml:space="preserve"> от 04.11.2014 N 344-ФЗ "О внесении изменений в отдельные законодательные акты Российской Федерации и признании </w:t>
      </w:r>
      <w:proofErr w:type="gramStart"/>
      <w:r>
        <w:rPr>
          <w:rFonts w:ascii="Calibri" w:hAnsi="Calibri" w:cs="Calibri"/>
        </w:rPr>
        <w:t>утратившими</w:t>
      </w:r>
      <w:proofErr w:type="gramEnd"/>
      <w:r>
        <w:rPr>
          <w:rFonts w:ascii="Calibri" w:hAnsi="Calibri" w:cs="Calibri"/>
        </w:rPr>
        <w:t xml:space="preserve"> силу отдельных положений законодательных актов Российской Федерации".</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jc w:val="center"/>
        <w:outlineLvl w:val="0"/>
        <w:rPr>
          <w:rFonts w:ascii="Calibri" w:hAnsi="Calibri" w:cs="Calibri"/>
        </w:rPr>
      </w:pPr>
      <w:bookmarkStart w:id="3" w:name="Par17"/>
      <w:bookmarkEnd w:id="3"/>
      <w:r>
        <w:rPr>
          <w:rFonts w:ascii="Calibri" w:hAnsi="Calibri" w:cs="Calibri"/>
        </w:rPr>
        <w:t>Последствия для бухгалтерского учета</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Оказали ли упомянутые изменения какое-либо влияние на порядок бухгалтерского учета операций по финансовой аренде? На первый взгляд нет, поскольку до сих не утратили статус действующего документа </w:t>
      </w:r>
      <w:hyperlink r:id="rId18" w:history="1">
        <w:r>
          <w:rPr>
            <w:rFonts w:ascii="Calibri" w:hAnsi="Calibri" w:cs="Calibri"/>
            <w:color w:val="0000FF"/>
          </w:rPr>
          <w:t>Указания</w:t>
        </w:r>
      </w:hyperlink>
      <w:r>
        <w:rPr>
          <w:rFonts w:ascii="Calibri" w:hAnsi="Calibri" w:cs="Calibri"/>
        </w:rPr>
        <w:t xml:space="preserve"> об отражении в бухгалтерском учете операций по договору лизинга </w:t>
      </w:r>
      <w:hyperlink w:anchor="Par21" w:history="1">
        <w:r>
          <w:rPr>
            <w:rFonts w:ascii="Calibri" w:hAnsi="Calibri" w:cs="Calibri"/>
            <w:color w:val="0000FF"/>
          </w:rPr>
          <w:t>&lt;3&gt;</w:t>
        </w:r>
      </w:hyperlink>
      <w:r>
        <w:rPr>
          <w:rFonts w:ascii="Calibri" w:hAnsi="Calibri" w:cs="Calibri"/>
        </w:rPr>
        <w:t xml:space="preserve"> (далее - Указания). А в </w:t>
      </w:r>
      <w:hyperlink r:id="rId19" w:history="1">
        <w:r>
          <w:rPr>
            <w:rFonts w:ascii="Calibri" w:hAnsi="Calibri" w:cs="Calibri"/>
            <w:color w:val="0000FF"/>
          </w:rPr>
          <w:t>п. 2</w:t>
        </w:r>
      </w:hyperlink>
      <w:r>
        <w:rPr>
          <w:rFonts w:ascii="Calibri" w:hAnsi="Calibri" w:cs="Calibri"/>
        </w:rPr>
        <w:t xml:space="preserve"> Указаний говорится: условия постановки лизингового имущества на баланс лизингодателя или лизингополучателя определяются по согласованию между сторонами договора лизинга.</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bookmarkStart w:id="4" w:name="Par21"/>
      <w:bookmarkEnd w:id="4"/>
      <w:r>
        <w:rPr>
          <w:rFonts w:ascii="Calibri" w:hAnsi="Calibri" w:cs="Calibri"/>
        </w:rPr>
        <w:t xml:space="preserve">&lt;3&gt; </w:t>
      </w:r>
      <w:proofErr w:type="gramStart"/>
      <w:r>
        <w:rPr>
          <w:rFonts w:ascii="Calibri" w:hAnsi="Calibri" w:cs="Calibri"/>
        </w:rPr>
        <w:t>Утверждены</w:t>
      </w:r>
      <w:proofErr w:type="gramEnd"/>
      <w:r>
        <w:rPr>
          <w:rFonts w:ascii="Calibri" w:hAnsi="Calibri" w:cs="Calibri"/>
        </w:rPr>
        <w:t xml:space="preserve"> </w:t>
      </w:r>
      <w:hyperlink r:id="rId20" w:history="1">
        <w:r>
          <w:rPr>
            <w:rFonts w:ascii="Calibri" w:hAnsi="Calibri" w:cs="Calibri"/>
            <w:color w:val="0000FF"/>
          </w:rPr>
          <w:t>Приказом</w:t>
        </w:r>
      </w:hyperlink>
      <w:r>
        <w:rPr>
          <w:rFonts w:ascii="Calibri" w:hAnsi="Calibri" w:cs="Calibri"/>
        </w:rPr>
        <w:t xml:space="preserve"> Минфина России от 17.02.1997 N 15.</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Исходя из данной </w:t>
      </w:r>
      <w:hyperlink r:id="rId21" w:history="1">
        <w:r>
          <w:rPr>
            <w:rFonts w:ascii="Calibri" w:hAnsi="Calibri" w:cs="Calibri"/>
            <w:color w:val="0000FF"/>
          </w:rPr>
          <w:t>нормы</w:t>
        </w:r>
      </w:hyperlink>
      <w:r>
        <w:rPr>
          <w:rFonts w:ascii="Calibri" w:hAnsi="Calibri" w:cs="Calibri"/>
        </w:rPr>
        <w:t xml:space="preserve"> стороны по-прежнему могут</w:t>
      </w:r>
      <w:proofErr w:type="gramEnd"/>
      <w:r>
        <w:rPr>
          <w:rFonts w:ascii="Calibri" w:hAnsi="Calibri" w:cs="Calibri"/>
        </w:rPr>
        <w:t xml:space="preserve"> сами определить балансодержателя предмета лизинга. Все так. Но названный документ является нормативно-техническим документом (см. </w:t>
      </w:r>
      <w:hyperlink r:id="rId22" w:history="1">
        <w:r>
          <w:rPr>
            <w:rFonts w:ascii="Calibri" w:hAnsi="Calibri" w:cs="Calibri"/>
            <w:color w:val="0000FF"/>
          </w:rPr>
          <w:t>Решение</w:t>
        </w:r>
      </w:hyperlink>
      <w:r>
        <w:rPr>
          <w:rFonts w:ascii="Calibri" w:hAnsi="Calibri" w:cs="Calibri"/>
        </w:rPr>
        <w:t xml:space="preserve"> </w:t>
      </w:r>
      <w:proofErr w:type="gramStart"/>
      <w:r>
        <w:rPr>
          <w:rFonts w:ascii="Calibri" w:hAnsi="Calibri" w:cs="Calibri"/>
        </w:rPr>
        <w:t>ВС</w:t>
      </w:r>
      <w:proofErr w:type="gramEnd"/>
      <w:r>
        <w:rPr>
          <w:rFonts w:ascii="Calibri" w:hAnsi="Calibri" w:cs="Calibri"/>
        </w:rPr>
        <w:t xml:space="preserve"> РФ от 03.10.2013 N АКПИ13-731), поэтому правил бухгалтерского </w:t>
      </w:r>
      <w:r>
        <w:rPr>
          <w:rFonts w:ascii="Calibri" w:hAnsi="Calibri" w:cs="Calibri"/>
        </w:rPr>
        <w:lastRenderedPageBreak/>
        <w:t>учета он не устанавливает.</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Более того, в настоящее время объектом бухгалтерского учета (одним из них) являются активы, а не имущество (</w:t>
      </w:r>
      <w:hyperlink r:id="rId23" w:history="1">
        <w:r>
          <w:rPr>
            <w:rFonts w:ascii="Calibri" w:hAnsi="Calibri" w:cs="Calibri"/>
            <w:color w:val="0000FF"/>
          </w:rPr>
          <w:t>ст. 5</w:t>
        </w:r>
      </w:hyperlink>
      <w:r>
        <w:rPr>
          <w:rFonts w:ascii="Calibri" w:hAnsi="Calibri" w:cs="Calibri"/>
        </w:rPr>
        <w:t xml:space="preserve"> Закона N 402-ФЗ </w:t>
      </w:r>
      <w:hyperlink w:anchor="Par26" w:history="1">
        <w:r>
          <w:rPr>
            <w:rFonts w:ascii="Calibri" w:hAnsi="Calibri" w:cs="Calibri"/>
            <w:color w:val="0000FF"/>
          </w:rPr>
          <w:t>&lt;4&gt;</w:t>
        </w:r>
      </w:hyperlink>
      <w:r>
        <w:rPr>
          <w:rFonts w:ascii="Calibri" w:hAnsi="Calibri" w:cs="Calibri"/>
        </w:rPr>
        <w:t>). А актив в отличие от имущества нельзя передать с баланса лизингодателя на баланс лизингополучателя. Поэтому вопрос о том, кто является именно балансодержателем предмета финансовой аренды (лизинга), для целей бухгалтерского учета в настоящее время не имеет принципиального значения.</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bookmarkStart w:id="5" w:name="Par26"/>
      <w:bookmarkEnd w:id="5"/>
      <w:r>
        <w:rPr>
          <w:rFonts w:ascii="Calibri" w:hAnsi="Calibri" w:cs="Calibri"/>
        </w:rPr>
        <w:t xml:space="preserve">&lt;4&gt; Федеральный </w:t>
      </w:r>
      <w:hyperlink r:id="rId24" w:history="1">
        <w:r>
          <w:rPr>
            <w:rFonts w:ascii="Calibri" w:hAnsi="Calibri" w:cs="Calibri"/>
            <w:color w:val="0000FF"/>
          </w:rPr>
          <w:t>закон</w:t>
        </w:r>
      </w:hyperlink>
      <w:r>
        <w:rPr>
          <w:rFonts w:ascii="Calibri" w:hAnsi="Calibri" w:cs="Calibri"/>
        </w:rPr>
        <w:t xml:space="preserve"> от 06.12.2011 N 402-ФЗ "О бухгалтерском учете".</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отражении лизинговых операций в бухгалтерском учете нужно исходить из того, что экономическую выгоду из предмета финансовой аренды извлекают обе стороны (лизингодатель - от лизинговых платежей, лизингополучатель - от эксплуатации полезных свой</w:t>
      </w:r>
      <w:proofErr w:type="gramStart"/>
      <w:r>
        <w:rPr>
          <w:rFonts w:ascii="Calibri" w:hAnsi="Calibri" w:cs="Calibri"/>
        </w:rPr>
        <w:t>ств пр</w:t>
      </w:r>
      <w:proofErr w:type="gramEnd"/>
      <w:r>
        <w:rPr>
          <w:rFonts w:ascii="Calibri" w:hAnsi="Calibri" w:cs="Calibri"/>
        </w:rPr>
        <w:t xml:space="preserve">едмета лизинга). Соответственно, на балансе обеих сторон подлежит отражению актив. Вопрос в том, как его классифицировать и в каком порядке отражать в бухгалтерском учете </w:t>
      </w:r>
      <w:hyperlink w:anchor="Par30" w:history="1">
        <w:r>
          <w:rPr>
            <w:rFonts w:ascii="Calibri" w:hAnsi="Calibri" w:cs="Calibri"/>
            <w:color w:val="0000FF"/>
          </w:rPr>
          <w:t>&lt;5&gt;</w:t>
        </w:r>
      </w:hyperlink>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bookmarkStart w:id="6" w:name="Par30"/>
      <w:bookmarkEnd w:id="6"/>
      <w:r>
        <w:rPr>
          <w:rFonts w:ascii="Calibri" w:hAnsi="Calibri" w:cs="Calibri"/>
        </w:rPr>
        <w:t>&lt;5</w:t>
      </w:r>
      <w:proofErr w:type="gramStart"/>
      <w:r>
        <w:rPr>
          <w:rFonts w:ascii="Calibri" w:hAnsi="Calibri" w:cs="Calibri"/>
        </w:rPr>
        <w:t>&gt; Н</w:t>
      </w:r>
      <w:proofErr w:type="gramEnd"/>
      <w:r>
        <w:rPr>
          <w:rFonts w:ascii="Calibri" w:hAnsi="Calibri" w:cs="Calibri"/>
        </w:rPr>
        <w:t>апомним: под активом понимается полученное организацией хозяйственное средство, которое способно принести ей экономические выгоды в будущем, то есть которое прямо или косвенно будет способствовать притоку денежных средств в организацию.</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действующих бухгалтерских стандартах этот момент не прописан. Но данный пробел восполнен в проекте стандарта по учету аренды (не утвержденного до сих пор). В его основе лежат принципы учета арендных операций, установленные международными стандартами финансовой отчетности.</w:t>
      </w:r>
    </w:p>
    <w:p w:rsidR="006863A2" w:rsidRDefault="006863A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Добавим: к МСФО нас отсылает и </w:t>
      </w:r>
      <w:hyperlink r:id="rId25" w:history="1">
        <w:r>
          <w:rPr>
            <w:rFonts w:ascii="Calibri" w:hAnsi="Calibri" w:cs="Calibri"/>
            <w:color w:val="0000FF"/>
          </w:rPr>
          <w:t>п. 7</w:t>
        </w:r>
      </w:hyperlink>
      <w:r>
        <w:rPr>
          <w:rFonts w:ascii="Calibri" w:hAnsi="Calibri" w:cs="Calibri"/>
        </w:rPr>
        <w:t xml:space="preserve"> ПБУ 1/2008 "Учетная политика организации" </w:t>
      </w:r>
      <w:hyperlink w:anchor="Par35" w:history="1">
        <w:r>
          <w:rPr>
            <w:rFonts w:ascii="Calibri" w:hAnsi="Calibri" w:cs="Calibri"/>
            <w:color w:val="0000FF"/>
          </w:rPr>
          <w:t>&lt;6&gt;</w:t>
        </w:r>
      </w:hyperlink>
      <w:r>
        <w:rPr>
          <w:rFonts w:ascii="Calibri" w:hAnsi="Calibri" w:cs="Calibri"/>
        </w:rPr>
        <w:t>. В нем сказано буквально следующее: если по конкретному вопросу в нормативных правовых актах не установлены способы ведения бухгалтерского учета, то при формировании учетной политики осуществляется разработка организацией соответствующего способа, исходя из настоящего и иных положений по бухгалтерскому учету, а также международных стандартов финансовой отчетности.</w:t>
      </w:r>
      <w:proofErr w:type="gramEnd"/>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bookmarkStart w:id="7" w:name="Par35"/>
      <w:bookmarkEnd w:id="7"/>
      <w:r>
        <w:rPr>
          <w:rFonts w:ascii="Calibri" w:hAnsi="Calibri" w:cs="Calibri"/>
        </w:rPr>
        <w:t xml:space="preserve">&lt;6&gt; Утверждено </w:t>
      </w:r>
      <w:hyperlink r:id="rId26" w:history="1">
        <w:r>
          <w:rPr>
            <w:rFonts w:ascii="Calibri" w:hAnsi="Calibri" w:cs="Calibri"/>
            <w:color w:val="0000FF"/>
          </w:rPr>
          <w:t>Приказом</w:t>
        </w:r>
      </w:hyperlink>
      <w:r>
        <w:rPr>
          <w:rFonts w:ascii="Calibri" w:hAnsi="Calibri" w:cs="Calibri"/>
        </w:rPr>
        <w:t xml:space="preserve"> Минфина России от 06.10.2008 N 106н.</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Получается, что учет лизинговых операций теперь логичнее производить в соответствии с подходом, обозначенным в </w:t>
      </w:r>
      <w:hyperlink r:id="rId27" w:history="1">
        <w:r>
          <w:rPr>
            <w:rFonts w:ascii="Calibri" w:hAnsi="Calibri" w:cs="Calibri"/>
            <w:color w:val="0000FF"/>
          </w:rPr>
          <w:t>МСФО (IAS) 17</w:t>
        </w:r>
      </w:hyperlink>
      <w:r>
        <w:rPr>
          <w:rFonts w:ascii="Calibri" w:hAnsi="Calibri" w:cs="Calibri"/>
        </w:rPr>
        <w:t xml:space="preserve"> "Аренда" </w:t>
      </w:r>
      <w:hyperlink w:anchor="Par39" w:history="1">
        <w:r>
          <w:rPr>
            <w:rFonts w:ascii="Calibri" w:hAnsi="Calibri" w:cs="Calibri"/>
            <w:color w:val="0000FF"/>
          </w:rPr>
          <w:t>&lt;7&gt;</w:t>
        </w:r>
      </w:hyperlink>
      <w:r>
        <w:rPr>
          <w:rFonts w:ascii="Calibri" w:hAnsi="Calibri" w:cs="Calibri"/>
        </w:rPr>
        <w:t xml:space="preserve">. Ранее считалось, что внедрению подхода </w:t>
      </w:r>
      <w:hyperlink r:id="rId28" w:history="1">
        <w:r>
          <w:rPr>
            <w:rFonts w:ascii="Calibri" w:hAnsi="Calibri" w:cs="Calibri"/>
            <w:color w:val="0000FF"/>
          </w:rPr>
          <w:t>МСФО</w:t>
        </w:r>
      </w:hyperlink>
      <w:r>
        <w:rPr>
          <w:rFonts w:ascii="Calibri" w:hAnsi="Calibri" w:cs="Calibri"/>
        </w:rPr>
        <w:t xml:space="preserve"> к учету аренды препятствовала ныне утратившая силу </w:t>
      </w:r>
      <w:hyperlink r:id="rId29" w:history="1">
        <w:r>
          <w:rPr>
            <w:rFonts w:ascii="Calibri" w:hAnsi="Calibri" w:cs="Calibri"/>
            <w:color w:val="0000FF"/>
          </w:rPr>
          <w:t>ст. 31</w:t>
        </w:r>
      </w:hyperlink>
      <w:r>
        <w:rPr>
          <w:rFonts w:ascii="Calibri" w:hAnsi="Calibri" w:cs="Calibri"/>
        </w:rPr>
        <w:t xml:space="preserve"> Закона N 164-ФЗ. Сейчас это препятствие ликвидировано.</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bookmarkStart w:id="8" w:name="Par39"/>
      <w:bookmarkEnd w:id="8"/>
      <w:r>
        <w:rPr>
          <w:rFonts w:ascii="Calibri" w:hAnsi="Calibri" w:cs="Calibri"/>
        </w:rPr>
        <w:t xml:space="preserve">&lt;7&gt; </w:t>
      </w:r>
      <w:proofErr w:type="gramStart"/>
      <w:r>
        <w:rPr>
          <w:rFonts w:ascii="Calibri" w:hAnsi="Calibri" w:cs="Calibri"/>
        </w:rPr>
        <w:t>Введен</w:t>
      </w:r>
      <w:proofErr w:type="gramEnd"/>
      <w:r>
        <w:rPr>
          <w:rFonts w:ascii="Calibri" w:hAnsi="Calibri" w:cs="Calibri"/>
        </w:rPr>
        <w:t xml:space="preserve"> в действие на территории РФ </w:t>
      </w:r>
      <w:hyperlink r:id="rId30" w:history="1">
        <w:r>
          <w:rPr>
            <w:rFonts w:ascii="Calibri" w:hAnsi="Calibri" w:cs="Calibri"/>
            <w:color w:val="0000FF"/>
          </w:rPr>
          <w:t>Приказом</w:t>
        </w:r>
      </w:hyperlink>
      <w:r>
        <w:rPr>
          <w:rFonts w:ascii="Calibri" w:hAnsi="Calibri" w:cs="Calibri"/>
        </w:rPr>
        <w:t xml:space="preserve"> Минфина России от 25.11.2011 N 160н.</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jc w:val="center"/>
        <w:outlineLvl w:val="0"/>
        <w:rPr>
          <w:rFonts w:ascii="Calibri" w:hAnsi="Calibri" w:cs="Calibri"/>
        </w:rPr>
      </w:pPr>
      <w:bookmarkStart w:id="9" w:name="Par41"/>
      <w:bookmarkEnd w:id="9"/>
      <w:r>
        <w:rPr>
          <w:rFonts w:ascii="Calibri" w:hAnsi="Calibri" w:cs="Calibri"/>
        </w:rPr>
        <w:t xml:space="preserve">Особенности учета лизинговых операций по правилам </w:t>
      </w:r>
      <w:hyperlink r:id="rId31" w:history="1">
        <w:r>
          <w:rPr>
            <w:rFonts w:ascii="Calibri" w:hAnsi="Calibri" w:cs="Calibri"/>
            <w:color w:val="0000FF"/>
          </w:rPr>
          <w:t>МСФО</w:t>
        </w:r>
      </w:hyperlink>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МСФО (IAS) 17 различает финансовую и операционную аренду </w:t>
      </w:r>
      <w:hyperlink r:id="rId32" w:history="1">
        <w:r>
          <w:rPr>
            <w:rFonts w:ascii="Calibri" w:hAnsi="Calibri" w:cs="Calibri"/>
            <w:color w:val="0000FF"/>
          </w:rPr>
          <w:t>(п. 4)</w:t>
        </w:r>
      </w:hyperlink>
      <w:r>
        <w:rPr>
          <w:rFonts w:ascii="Calibri" w:hAnsi="Calibri" w:cs="Calibri"/>
        </w:rPr>
        <w:t xml:space="preserve">. Аренда классифицируется как финансовая в том случае, когда она подразумевает передачу практически всех рисков и выгод, связанных с владением активом. По окончании финансовой аренды объект </w:t>
      </w:r>
      <w:proofErr w:type="gramStart"/>
      <w:r>
        <w:rPr>
          <w:rFonts w:ascii="Calibri" w:hAnsi="Calibri" w:cs="Calibri"/>
        </w:rPr>
        <w:t>может</w:t>
      </w:r>
      <w:proofErr w:type="gramEnd"/>
      <w:r>
        <w:rPr>
          <w:rFonts w:ascii="Calibri" w:hAnsi="Calibri" w:cs="Calibri"/>
        </w:rPr>
        <w:t xml:space="preserve"> как передаваться, так и не передаваться арендатору (</w:t>
      </w:r>
      <w:hyperlink r:id="rId33" w:history="1">
        <w:r>
          <w:rPr>
            <w:rFonts w:ascii="Calibri" w:hAnsi="Calibri" w:cs="Calibri"/>
            <w:color w:val="0000FF"/>
          </w:rPr>
          <w:t>п. п. 4</w:t>
        </w:r>
      </w:hyperlink>
      <w:r>
        <w:rPr>
          <w:rFonts w:ascii="Calibri" w:hAnsi="Calibri" w:cs="Calibri"/>
        </w:rPr>
        <w:t xml:space="preserve">, </w:t>
      </w:r>
      <w:hyperlink r:id="rId34" w:history="1">
        <w:r>
          <w:rPr>
            <w:rFonts w:ascii="Calibri" w:hAnsi="Calibri" w:cs="Calibri"/>
            <w:color w:val="0000FF"/>
          </w:rPr>
          <w:t>8</w:t>
        </w:r>
      </w:hyperlink>
      <w:r>
        <w:rPr>
          <w:rFonts w:ascii="Calibri" w:hAnsi="Calibri" w:cs="Calibri"/>
        </w:rPr>
        <w:t xml:space="preserve"> МСФО (IAS) 17). В противном случае аренда классифицируется как операционная. Классификация аренды в качестве финансовой или операционной в большей степени зависит от содержания операции, нежели от формы договора (</w:t>
      </w:r>
      <w:hyperlink r:id="rId35" w:history="1">
        <w:r>
          <w:rPr>
            <w:rFonts w:ascii="Calibri" w:hAnsi="Calibri" w:cs="Calibri"/>
            <w:color w:val="0000FF"/>
          </w:rPr>
          <w:t>п. 10</w:t>
        </w:r>
      </w:hyperlink>
      <w:r>
        <w:rPr>
          <w:rFonts w:ascii="Calibri" w:hAnsi="Calibri" w:cs="Calibri"/>
        </w:rPr>
        <w:t xml:space="preserve"> МСФО (IAS) 17). В этом же </w:t>
      </w:r>
      <w:hyperlink r:id="rId36" w:history="1">
        <w:r>
          <w:rPr>
            <w:rFonts w:ascii="Calibri" w:hAnsi="Calibri" w:cs="Calibri"/>
            <w:color w:val="0000FF"/>
          </w:rPr>
          <w:t>пункте</w:t>
        </w:r>
      </w:hyperlink>
      <w:r>
        <w:rPr>
          <w:rFonts w:ascii="Calibri" w:hAnsi="Calibri" w:cs="Calibri"/>
        </w:rPr>
        <w:t xml:space="preserve"> перечислены обстоятельства, которые по отдельности или в совокупности приводят к классификации аренды как финансовой. Среди них поименованы знакомые нам условия договора финансовой аренды, в частности:</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возможность выкупа актива арендатором по цене ниже справедливой стоимости на дату реализации этого права;</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распространение срока аренды на значительную часть срока экономической службы актива даже при отсутствии передачи права собственности.</w:t>
      </w:r>
    </w:p>
    <w:p w:rsidR="006863A2" w:rsidRDefault="006863A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Иначе говоря, при финансовой аренде арендатор получает экономические выгоды от использования актива, являющегося предметом аренды, на протяжении большей части срока его экономической службы в обмен на обязательство уплатить за это право сумму, приблизительно равную справедливой стоимости актива на дату начала арендных отношений и соответствующих затрат на финансирование (</w:t>
      </w:r>
      <w:hyperlink r:id="rId37" w:history="1">
        <w:r>
          <w:rPr>
            <w:rFonts w:ascii="Calibri" w:hAnsi="Calibri" w:cs="Calibri"/>
            <w:color w:val="0000FF"/>
          </w:rPr>
          <w:t>п. 21</w:t>
        </w:r>
      </w:hyperlink>
      <w:r>
        <w:rPr>
          <w:rFonts w:ascii="Calibri" w:hAnsi="Calibri" w:cs="Calibri"/>
        </w:rPr>
        <w:t xml:space="preserve"> МСФО (IAS) 17).</w:t>
      </w:r>
      <w:proofErr w:type="gramEnd"/>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момент передачи предмета лизинга арендатору-лизингополучателю последний в учете должен признать </w:t>
      </w:r>
      <w:hyperlink r:id="rId38" w:history="1">
        <w:r>
          <w:rPr>
            <w:rFonts w:ascii="Calibri" w:hAnsi="Calibri" w:cs="Calibri"/>
            <w:color w:val="0000FF"/>
          </w:rPr>
          <w:t>(п. 20)</w:t>
        </w:r>
      </w:hyperlink>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актив. Его первоначальная оценка определяется исходя из справедливой стоимости полученного имущества (предмета лизинга) или приведенной (дисконтированной) стоимости минимальных арендных платежей (если эта сумма ниже). Поскольку выгоду от эксплуатации полезных свой</w:t>
      </w:r>
      <w:proofErr w:type="gramStart"/>
      <w:r>
        <w:rPr>
          <w:rFonts w:ascii="Calibri" w:hAnsi="Calibri" w:cs="Calibri"/>
        </w:rPr>
        <w:t>ств пр</w:t>
      </w:r>
      <w:proofErr w:type="gramEnd"/>
      <w:r>
        <w:rPr>
          <w:rFonts w:ascii="Calibri" w:hAnsi="Calibri" w:cs="Calibri"/>
        </w:rPr>
        <w:t>едмета лизинга лизингополучатель будет получать в течение срока, превышающего 12 месяцев, названный актив должен классифицироваться в качестве основного средства.</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Важно.</w:t>
      </w:r>
      <w:r>
        <w:rPr>
          <w:rFonts w:ascii="Calibri" w:hAnsi="Calibri" w:cs="Calibri"/>
        </w:rPr>
        <w:t xml:space="preserve"> Под справедливой стоимостью понимается сумма, на которую можно обменять актив или произвести расчет по обязательству при совершении сделки между хорошо осведомленными, желающими совершить данную операцию независимыми сторонами (</w:t>
      </w:r>
      <w:hyperlink r:id="rId39" w:history="1">
        <w:r>
          <w:rPr>
            <w:rFonts w:ascii="Calibri" w:hAnsi="Calibri" w:cs="Calibri"/>
            <w:color w:val="0000FF"/>
          </w:rPr>
          <w:t>п. п. 4</w:t>
        </w:r>
      </w:hyperlink>
      <w:r>
        <w:rPr>
          <w:rFonts w:ascii="Calibri" w:hAnsi="Calibri" w:cs="Calibri"/>
        </w:rPr>
        <w:t xml:space="preserve">, </w:t>
      </w:r>
      <w:hyperlink r:id="rId40" w:history="1">
        <w:r>
          <w:rPr>
            <w:rFonts w:ascii="Calibri" w:hAnsi="Calibri" w:cs="Calibri"/>
            <w:color w:val="0000FF"/>
          </w:rPr>
          <w:t>6А</w:t>
        </w:r>
      </w:hyperlink>
      <w:r>
        <w:rPr>
          <w:rFonts w:ascii="Calibri" w:hAnsi="Calibri" w:cs="Calibri"/>
        </w:rPr>
        <w:t xml:space="preserve"> МСФО (IAS) 17);</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обязательства (лизинговые платежи). Их первоначальная оценка производится так же, как и у актива.</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Иными словами, на дату начала срока аренды актив и обязательство по уплате будущих арендных платежей признаются в отчете о финансовом положении в одинаковых суммах (</w:t>
      </w:r>
      <w:hyperlink r:id="rId41" w:history="1">
        <w:r>
          <w:rPr>
            <w:rFonts w:ascii="Calibri" w:hAnsi="Calibri" w:cs="Calibri"/>
            <w:color w:val="0000FF"/>
          </w:rPr>
          <w:t>п. 22</w:t>
        </w:r>
      </w:hyperlink>
      <w:r>
        <w:rPr>
          <w:rFonts w:ascii="Calibri" w:hAnsi="Calibri" w:cs="Calibri"/>
        </w:rPr>
        <w:t xml:space="preserve"> МСФО (IAS) 17).</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Последующая оценка актива и обязатель</w:t>
      </w:r>
      <w:proofErr w:type="gramStart"/>
      <w:r>
        <w:rPr>
          <w:rFonts w:ascii="Calibri" w:hAnsi="Calibri" w:cs="Calibri"/>
        </w:rPr>
        <w:t>ств пр</w:t>
      </w:r>
      <w:proofErr w:type="gramEnd"/>
      <w:r>
        <w:rPr>
          <w:rFonts w:ascii="Calibri" w:hAnsi="Calibri" w:cs="Calibri"/>
        </w:rPr>
        <w:t>оизводится следующим образом.</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активу начисляется амортизация (</w:t>
      </w:r>
      <w:hyperlink r:id="rId42" w:history="1">
        <w:r>
          <w:rPr>
            <w:rFonts w:ascii="Calibri" w:hAnsi="Calibri" w:cs="Calibri"/>
            <w:color w:val="0000FF"/>
          </w:rPr>
          <w:t>п. 27</w:t>
        </w:r>
      </w:hyperlink>
      <w:r>
        <w:rPr>
          <w:rFonts w:ascii="Calibri" w:hAnsi="Calibri" w:cs="Calibri"/>
        </w:rPr>
        <w:t xml:space="preserve"> МСФО (IAS) 17). Если существует обоснованная уверенность в том, что арендатор получит право собственности к концу срока аренды, период предполагаемого использования будет соответствовать сроку полезного использования актива. В противном случае срок амортизации объекта определяется как наиболее короткий из двух сроков: аренды или полезного использования имущества. Кроме того, при последующей оценке актива нужно учитывать убытки от обесценения (</w:t>
      </w:r>
      <w:hyperlink r:id="rId43" w:history="1">
        <w:r>
          <w:rPr>
            <w:rFonts w:ascii="Calibri" w:hAnsi="Calibri" w:cs="Calibri"/>
            <w:color w:val="0000FF"/>
          </w:rPr>
          <w:t>п. 30</w:t>
        </w:r>
      </w:hyperlink>
      <w:r>
        <w:rPr>
          <w:rFonts w:ascii="Calibri" w:hAnsi="Calibri" w:cs="Calibri"/>
        </w:rPr>
        <w:t xml:space="preserve"> МСФО (IAS) 17).</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части обязательств необходимо пояснить вот что. Любой лизинговый платеж по правилам МСФО (IAS) 17 в период действия договора финансовой аренды распадается на две части </w:t>
      </w:r>
      <w:hyperlink r:id="rId44" w:history="1">
        <w:r>
          <w:rPr>
            <w:rFonts w:ascii="Calibri" w:hAnsi="Calibri" w:cs="Calibri"/>
            <w:color w:val="0000FF"/>
          </w:rPr>
          <w:t>(п. 25)</w:t>
        </w:r>
      </w:hyperlink>
      <w:r>
        <w:rPr>
          <w:rFonts w:ascii="Calibri" w:hAnsi="Calibri" w:cs="Calibri"/>
        </w:rPr>
        <w:t>:</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неоплаченное обязательство;</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финансовые расходы или затраты на финансирование (расходы по процентам).</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Затраты на финансирование необходимо распределять в течение срока аренды так, чтобы получилась постоянная периодическая ставка процента по непогашенному остатку обязательства. Условная арендная плата начисляется в качестве расходов в тех отчетных периодах, в которых она возникает (</w:t>
      </w:r>
      <w:hyperlink r:id="rId45" w:history="1">
        <w:r>
          <w:rPr>
            <w:rFonts w:ascii="Calibri" w:hAnsi="Calibri" w:cs="Calibri"/>
            <w:color w:val="0000FF"/>
          </w:rPr>
          <w:t>п. 25</w:t>
        </w:r>
      </w:hyperlink>
      <w:r>
        <w:rPr>
          <w:rFonts w:ascii="Calibri" w:hAnsi="Calibri" w:cs="Calibri"/>
        </w:rPr>
        <w:t xml:space="preserve"> МСФО (IAS) 17).</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Существуют два метода распределения процентов между всеми периодами в течение срока аренды: актуарный и кумулятивный.</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актуарном методе применяется постоянная процентная ставка на непогашенную сумму обязательства по финансовой аренде. Проценты начисляются исходя из цены приобретения объекта аренды на начало каждого периода. При этом цена приобретения равна разности, получившейся в результате вычитания из суммы стоимости объекта и процентных платежей сумм ежегодного погашения арендной платы.</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кумулятивном методе для распределения процентного платежа используется сумма чисел лет периода аренды.</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Выбранный метод необходимо отразить в учетной политике арендатора (метод выбирается с учетом финансового состояния организации).</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jc w:val="center"/>
        <w:outlineLvl w:val="0"/>
        <w:rPr>
          <w:rFonts w:ascii="Calibri" w:hAnsi="Calibri" w:cs="Calibri"/>
        </w:rPr>
      </w:pPr>
      <w:bookmarkStart w:id="10" w:name="Par63"/>
      <w:bookmarkEnd w:id="10"/>
      <w:r>
        <w:rPr>
          <w:rFonts w:ascii="Calibri" w:hAnsi="Calibri" w:cs="Calibri"/>
        </w:rPr>
        <w:t>Вместо заключения</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Несмотря на прекращение с 16 ноября 2014 г. действия </w:t>
      </w:r>
      <w:hyperlink r:id="rId46" w:history="1">
        <w:r>
          <w:rPr>
            <w:rFonts w:ascii="Calibri" w:hAnsi="Calibri" w:cs="Calibri"/>
            <w:color w:val="0000FF"/>
          </w:rPr>
          <w:t>ст. 31</w:t>
        </w:r>
      </w:hyperlink>
      <w:r>
        <w:rPr>
          <w:rFonts w:ascii="Calibri" w:hAnsi="Calibri" w:cs="Calibri"/>
        </w:rPr>
        <w:t xml:space="preserve"> Закона N 164-ФЗ, все увязанные с ней нормы налогового законодательства действовали до окончания налогового периода, то есть до 31 декабря 2014 г. Иначе говоря, исчисление налогов (налога на прибыль и </w:t>
      </w:r>
      <w:r>
        <w:rPr>
          <w:rFonts w:ascii="Calibri" w:hAnsi="Calibri" w:cs="Calibri"/>
        </w:rPr>
        <w:lastRenderedPageBreak/>
        <w:t>налога на имущество) до конца 2014 г. лизингодателям и лизингополучателям необходимо было осуществлять в прежнем порядке.</w:t>
      </w:r>
      <w:proofErr w:type="gramEnd"/>
      <w:r>
        <w:rPr>
          <w:rFonts w:ascii="Calibri" w:hAnsi="Calibri" w:cs="Calibri"/>
        </w:rPr>
        <w:t xml:space="preserve"> Почему?</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w:t>
      </w:r>
      <w:hyperlink r:id="rId47" w:history="1">
        <w:r>
          <w:rPr>
            <w:rFonts w:ascii="Calibri" w:hAnsi="Calibri" w:cs="Calibri"/>
            <w:color w:val="0000FF"/>
          </w:rPr>
          <w:t>п. 1 ст. 5</w:t>
        </w:r>
      </w:hyperlink>
      <w:r>
        <w:rPr>
          <w:rFonts w:ascii="Calibri" w:hAnsi="Calibri" w:cs="Calibri"/>
        </w:rPr>
        <w:t xml:space="preserve"> НК РФ. </w:t>
      </w:r>
      <w:proofErr w:type="gramStart"/>
      <w:r>
        <w:rPr>
          <w:rFonts w:ascii="Calibri" w:hAnsi="Calibri" w:cs="Calibri"/>
        </w:rPr>
        <w:t xml:space="preserve">Условия его применения растолкованы в </w:t>
      </w:r>
      <w:hyperlink r:id="rId48" w:history="1">
        <w:r>
          <w:rPr>
            <w:rFonts w:ascii="Calibri" w:hAnsi="Calibri" w:cs="Calibri"/>
            <w:color w:val="0000FF"/>
          </w:rPr>
          <w:t>Постановлении</w:t>
        </w:r>
      </w:hyperlink>
      <w:r>
        <w:rPr>
          <w:rFonts w:ascii="Calibri" w:hAnsi="Calibri" w:cs="Calibri"/>
        </w:rPr>
        <w:t xml:space="preserve"> КС РФ от 02.07.2013 N 17-П: нормативные правовые акты в той части, в какой они порождают правовые последствия для граждан и их объединений как налогоплательщиков, действуют во времени в том порядке, который определен в Налоговом </w:t>
      </w:r>
      <w:hyperlink r:id="rId49" w:history="1">
        <w:r>
          <w:rPr>
            <w:rFonts w:ascii="Calibri" w:hAnsi="Calibri" w:cs="Calibri"/>
            <w:color w:val="0000FF"/>
          </w:rPr>
          <w:t>кодексе</w:t>
        </w:r>
      </w:hyperlink>
      <w:r>
        <w:rPr>
          <w:rFonts w:ascii="Calibri" w:hAnsi="Calibri" w:cs="Calibri"/>
        </w:rPr>
        <w:t xml:space="preserve"> для вступления в силу актов законодательства о налогах и сборах.</w:t>
      </w:r>
      <w:proofErr w:type="gramEnd"/>
      <w:r>
        <w:rPr>
          <w:rFonts w:ascii="Calibri" w:hAnsi="Calibri" w:cs="Calibri"/>
        </w:rPr>
        <w:t xml:space="preserve"> Как подчеркнул Минфин в </w:t>
      </w:r>
      <w:hyperlink r:id="rId50" w:history="1">
        <w:r>
          <w:rPr>
            <w:rFonts w:ascii="Calibri" w:hAnsi="Calibri" w:cs="Calibri"/>
            <w:color w:val="0000FF"/>
          </w:rPr>
          <w:t>Письме</w:t>
        </w:r>
      </w:hyperlink>
      <w:r>
        <w:rPr>
          <w:rFonts w:ascii="Calibri" w:hAnsi="Calibri" w:cs="Calibri"/>
        </w:rPr>
        <w:t xml:space="preserve"> от 18.09.2014 N 03-07-15/46850, выявленный в указанном </w:t>
      </w:r>
      <w:hyperlink r:id="rId51" w:history="1">
        <w:r>
          <w:rPr>
            <w:rFonts w:ascii="Calibri" w:hAnsi="Calibri" w:cs="Calibri"/>
            <w:color w:val="0000FF"/>
          </w:rPr>
          <w:t>Постановлении</w:t>
        </w:r>
      </w:hyperlink>
      <w:r>
        <w:rPr>
          <w:rFonts w:ascii="Calibri" w:hAnsi="Calibri" w:cs="Calibri"/>
        </w:rPr>
        <w:t xml:space="preserve"> конституционно-правовой смысл </w:t>
      </w:r>
      <w:hyperlink r:id="rId52" w:history="1">
        <w:r>
          <w:rPr>
            <w:rFonts w:ascii="Calibri" w:hAnsi="Calibri" w:cs="Calibri"/>
            <w:color w:val="0000FF"/>
          </w:rPr>
          <w:t>п. 1 ст. 5</w:t>
        </w:r>
      </w:hyperlink>
      <w:r>
        <w:rPr>
          <w:rFonts w:ascii="Calibri" w:hAnsi="Calibri" w:cs="Calibri"/>
        </w:rPr>
        <w:t xml:space="preserve"> НК РФ является общеобязательным и исключает любое иное истолкование в правоприменительной практике.</w:t>
      </w: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гражданско-правовой точки зрения пересмотр правил налогообложения окажется существенным изменением обстоятельств, из которых стороны исходили при заключении договора лизинга. В связи с этим возможны как изменения, так и расторжения договоров (</w:t>
      </w:r>
      <w:hyperlink r:id="rId53" w:history="1">
        <w:r>
          <w:rPr>
            <w:rFonts w:ascii="Calibri" w:hAnsi="Calibri" w:cs="Calibri"/>
            <w:color w:val="0000FF"/>
          </w:rPr>
          <w:t>ст. 451</w:t>
        </w:r>
      </w:hyperlink>
      <w:r>
        <w:rPr>
          <w:rFonts w:ascii="Calibri" w:hAnsi="Calibri" w:cs="Calibri"/>
        </w:rPr>
        <w:t xml:space="preserve"> ГК РФ). С учетом сказанного положения заключенных до 16 ноября 2014 г. лизинговых договоров должны быть скорректированы (при необходимости) по состоянию на 1 января 2015 г.</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Обратите внимание! С 1 января 2015 г. применяется новый </w:t>
      </w:r>
      <w:hyperlink r:id="rId54" w:history="1">
        <w:r>
          <w:rPr>
            <w:rFonts w:ascii="Calibri" w:hAnsi="Calibri" w:cs="Calibri"/>
            <w:color w:val="0000FF"/>
          </w:rPr>
          <w:t>п. 25 ст. 381</w:t>
        </w:r>
      </w:hyperlink>
      <w:r>
        <w:rPr>
          <w:rFonts w:ascii="Calibri" w:hAnsi="Calibri" w:cs="Calibri"/>
        </w:rPr>
        <w:t xml:space="preserve"> НК РФ, в соответствии с которым в отношении движимого имущества, принятого на учет с 1 января 2013 г. в качестве основных средств, предусмотрена льгота по налогу в виде освобождения от уплаты налога. Исключение - объекты движимого имущества, принятые на учет в результате передачи имущества между лицами, признаваемыми в соответствии с положениями </w:t>
      </w:r>
      <w:hyperlink r:id="rId55" w:history="1">
        <w:r>
          <w:rPr>
            <w:rFonts w:ascii="Calibri" w:hAnsi="Calibri" w:cs="Calibri"/>
            <w:color w:val="0000FF"/>
          </w:rPr>
          <w:t>п. 2 ст. 105.1</w:t>
        </w:r>
      </w:hyperlink>
      <w:r>
        <w:rPr>
          <w:rFonts w:ascii="Calibri" w:hAnsi="Calibri" w:cs="Calibri"/>
        </w:rPr>
        <w:t xml:space="preserve"> НК РФ взаимозависимыми. Следовательно, если договор лизинга заключен с лизингодателем, не являющимся взаимозависимым с лизингополучателем, то в отношении предмета лизинга налог на имущество не уплачивается. Но декларация по налогу на имущество в силу </w:t>
      </w:r>
      <w:hyperlink r:id="rId56" w:history="1">
        <w:r>
          <w:rPr>
            <w:rFonts w:ascii="Calibri" w:hAnsi="Calibri" w:cs="Calibri"/>
            <w:color w:val="0000FF"/>
          </w:rPr>
          <w:t>п. 1 ст. 373</w:t>
        </w:r>
      </w:hyperlink>
      <w:r>
        <w:rPr>
          <w:rFonts w:ascii="Calibri" w:hAnsi="Calibri" w:cs="Calibri"/>
        </w:rPr>
        <w:t xml:space="preserve"> и </w:t>
      </w:r>
      <w:hyperlink r:id="rId57" w:history="1">
        <w:r>
          <w:rPr>
            <w:rFonts w:ascii="Calibri" w:hAnsi="Calibri" w:cs="Calibri"/>
            <w:color w:val="0000FF"/>
          </w:rPr>
          <w:t>п. 1 ст. 374</w:t>
        </w:r>
      </w:hyperlink>
      <w:r>
        <w:rPr>
          <w:rFonts w:ascii="Calibri" w:hAnsi="Calibri" w:cs="Calibri"/>
        </w:rPr>
        <w:t xml:space="preserve"> НК РФ должна быть представлена в налоговую инспекцию.</w:t>
      </w:r>
    </w:p>
    <w:p w:rsidR="006863A2" w:rsidRDefault="006863A2">
      <w:pPr>
        <w:widowControl w:val="0"/>
        <w:autoSpaceDE w:val="0"/>
        <w:autoSpaceDN w:val="0"/>
        <w:adjustRightInd w:val="0"/>
        <w:spacing w:after="0" w:line="240" w:lineRule="auto"/>
        <w:ind w:firstLine="540"/>
        <w:jc w:val="both"/>
        <w:rPr>
          <w:rFonts w:ascii="Calibri" w:hAnsi="Calibri" w:cs="Calibri"/>
        </w:rPr>
      </w:pPr>
    </w:p>
    <w:p w:rsidR="006863A2" w:rsidRDefault="006863A2">
      <w:pPr>
        <w:widowControl w:val="0"/>
        <w:autoSpaceDE w:val="0"/>
        <w:autoSpaceDN w:val="0"/>
        <w:adjustRightInd w:val="0"/>
        <w:spacing w:after="0" w:line="240" w:lineRule="auto"/>
        <w:jc w:val="right"/>
        <w:rPr>
          <w:rFonts w:ascii="Calibri" w:hAnsi="Calibri" w:cs="Calibri"/>
        </w:rPr>
      </w:pPr>
      <w:r>
        <w:rPr>
          <w:rFonts w:ascii="Calibri" w:hAnsi="Calibri" w:cs="Calibri"/>
        </w:rPr>
        <w:t>Е.А.Логинова</w:t>
      </w:r>
    </w:p>
    <w:p w:rsidR="006863A2" w:rsidRDefault="006863A2">
      <w:pPr>
        <w:widowControl w:val="0"/>
        <w:autoSpaceDE w:val="0"/>
        <w:autoSpaceDN w:val="0"/>
        <w:adjustRightInd w:val="0"/>
        <w:spacing w:after="0" w:line="240" w:lineRule="auto"/>
        <w:jc w:val="right"/>
        <w:rPr>
          <w:rFonts w:ascii="Calibri" w:hAnsi="Calibri" w:cs="Calibri"/>
        </w:rPr>
      </w:pPr>
      <w:r>
        <w:rPr>
          <w:rFonts w:ascii="Calibri" w:hAnsi="Calibri" w:cs="Calibri"/>
        </w:rPr>
        <w:t>Эксперт журнала</w:t>
      </w:r>
    </w:p>
    <w:p w:rsidR="006863A2" w:rsidRDefault="006863A2">
      <w:pPr>
        <w:widowControl w:val="0"/>
        <w:autoSpaceDE w:val="0"/>
        <w:autoSpaceDN w:val="0"/>
        <w:adjustRightInd w:val="0"/>
        <w:spacing w:after="0" w:line="240" w:lineRule="auto"/>
        <w:jc w:val="right"/>
        <w:rPr>
          <w:rFonts w:ascii="Calibri" w:hAnsi="Calibri" w:cs="Calibri"/>
        </w:rPr>
      </w:pPr>
      <w:r>
        <w:rPr>
          <w:rFonts w:ascii="Calibri" w:hAnsi="Calibri" w:cs="Calibri"/>
        </w:rPr>
        <w:t>"Пищевая промышленность:</w:t>
      </w:r>
    </w:p>
    <w:p w:rsidR="006863A2" w:rsidRDefault="006863A2">
      <w:pPr>
        <w:widowControl w:val="0"/>
        <w:autoSpaceDE w:val="0"/>
        <w:autoSpaceDN w:val="0"/>
        <w:adjustRightInd w:val="0"/>
        <w:spacing w:after="0" w:line="240" w:lineRule="auto"/>
        <w:jc w:val="right"/>
        <w:rPr>
          <w:rFonts w:ascii="Calibri" w:hAnsi="Calibri" w:cs="Calibri"/>
        </w:rPr>
      </w:pPr>
      <w:r>
        <w:rPr>
          <w:rFonts w:ascii="Calibri" w:hAnsi="Calibri" w:cs="Calibri"/>
        </w:rPr>
        <w:t>бухгалтерский учет</w:t>
      </w:r>
    </w:p>
    <w:p w:rsidR="006863A2" w:rsidRDefault="006863A2">
      <w:pPr>
        <w:widowControl w:val="0"/>
        <w:autoSpaceDE w:val="0"/>
        <w:autoSpaceDN w:val="0"/>
        <w:adjustRightInd w:val="0"/>
        <w:spacing w:after="0" w:line="240" w:lineRule="auto"/>
        <w:jc w:val="right"/>
        <w:rPr>
          <w:rFonts w:ascii="Calibri" w:hAnsi="Calibri" w:cs="Calibri"/>
        </w:rPr>
      </w:pPr>
      <w:r>
        <w:rPr>
          <w:rFonts w:ascii="Calibri" w:hAnsi="Calibri" w:cs="Calibri"/>
        </w:rPr>
        <w:t>и налогообложение"</w:t>
      </w:r>
    </w:p>
    <w:p w:rsidR="006863A2" w:rsidRDefault="006863A2">
      <w:pPr>
        <w:widowControl w:val="0"/>
        <w:autoSpaceDE w:val="0"/>
        <w:autoSpaceDN w:val="0"/>
        <w:adjustRightInd w:val="0"/>
        <w:spacing w:after="0" w:line="240" w:lineRule="auto"/>
        <w:rPr>
          <w:rFonts w:ascii="Calibri" w:hAnsi="Calibri" w:cs="Calibri"/>
        </w:rPr>
      </w:pPr>
      <w:r>
        <w:rPr>
          <w:rFonts w:ascii="Calibri" w:hAnsi="Calibri" w:cs="Calibri"/>
        </w:rPr>
        <w:t>Подписано в печать</w:t>
      </w:r>
    </w:p>
    <w:p w:rsidR="006863A2" w:rsidRDefault="006863A2">
      <w:pPr>
        <w:widowControl w:val="0"/>
        <w:autoSpaceDE w:val="0"/>
        <w:autoSpaceDN w:val="0"/>
        <w:adjustRightInd w:val="0"/>
        <w:spacing w:after="0" w:line="240" w:lineRule="auto"/>
        <w:rPr>
          <w:rFonts w:ascii="Calibri" w:hAnsi="Calibri" w:cs="Calibri"/>
        </w:rPr>
      </w:pPr>
      <w:r>
        <w:rPr>
          <w:rFonts w:ascii="Calibri" w:hAnsi="Calibri" w:cs="Calibri"/>
        </w:rPr>
        <w:t>31.03.2015</w:t>
      </w:r>
    </w:p>
    <w:p w:rsidR="006863A2" w:rsidRDefault="006863A2">
      <w:pPr>
        <w:widowControl w:val="0"/>
        <w:autoSpaceDE w:val="0"/>
        <w:autoSpaceDN w:val="0"/>
        <w:adjustRightInd w:val="0"/>
        <w:spacing w:after="0" w:line="240" w:lineRule="auto"/>
        <w:jc w:val="both"/>
        <w:rPr>
          <w:rFonts w:ascii="Calibri" w:hAnsi="Calibri" w:cs="Calibri"/>
        </w:rPr>
      </w:pPr>
    </w:p>
    <w:p w:rsidR="006863A2" w:rsidRDefault="006863A2">
      <w:pPr>
        <w:widowControl w:val="0"/>
        <w:autoSpaceDE w:val="0"/>
        <w:autoSpaceDN w:val="0"/>
        <w:adjustRightInd w:val="0"/>
        <w:spacing w:after="0" w:line="240" w:lineRule="auto"/>
        <w:jc w:val="both"/>
        <w:rPr>
          <w:rFonts w:ascii="Calibri" w:hAnsi="Calibri" w:cs="Calibri"/>
        </w:rPr>
      </w:pPr>
    </w:p>
    <w:p w:rsidR="006863A2" w:rsidRDefault="006863A2">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E86AF0" w:rsidRDefault="00E86AF0"/>
    <w:sectPr w:rsidR="00E86AF0" w:rsidSect="00AF33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grammar="clean"/>
  <w:defaultTabStop w:val="708"/>
  <w:characterSpacingControl w:val="doNotCompress"/>
  <w:compat/>
  <w:rsids>
    <w:rsidRoot w:val="006863A2"/>
    <w:rsid w:val="006863A2"/>
    <w:rsid w:val="00E86A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A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31363E94149243ADA0E304E2074CF90F2860DC21ED3CD195910FF3172A7752BA2194AC6DE61740Ax0S9L" TargetMode="External"/><Relationship Id="rId18" Type="http://schemas.openxmlformats.org/officeDocument/2006/relationships/hyperlink" Target="consultantplus://offline/ref=031363E94149243ADA0E304E2074CF90F08009C01FDA90135149F33375A82A3CA55046C7DE6174x0SCL" TargetMode="External"/><Relationship Id="rId26" Type="http://schemas.openxmlformats.org/officeDocument/2006/relationships/hyperlink" Target="consultantplus://offline/ref=031363E94149243ADA0E304E2074CF90F2850FC21CD7CD195910FF3172A7752BA2194AC6DE617508x0S8L" TargetMode="External"/><Relationship Id="rId39" Type="http://schemas.openxmlformats.org/officeDocument/2006/relationships/hyperlink" Target="consultantplus://offline/ref=031363E94149243ADA0E304E2074CF90F28209C713D7CD195910FF3172A7752BA2194AC6DE617509x0S9L" TargetMode="External"/><Relationship Id="rId21" Type="http://schemas.openxmlformats.org/officeDocument/2006/relationships/hyperlink" Target="consultantplus://offline/ref=031363E94149243ADA0E304E2074CF90F08009C01FDA90135149F33375A82A3CA55046C7DE6174x0SFL" TargetMode="External"/><Relationship Id="rId34" Type="http://schemas.openxmlformats.org/officeDocument/2006/relationships/hyperlink" Target="consultantplus://offline/ref=031363E94149243ADA0E304E2074CF90F28209C713D7CD195910FF3172A7752BA2194AC6DE61750Ex0SEL" TargetMode="External"/><Relationship Id="rId42" Type="http://schemas.openxmlformats.org/officeDocument/2006/relationships/hyperlink" Target="consultantplus://offline/ref=031363E94149243ADA0E304E2074CF90F28209C713D7CD195910FF3172A7752BA2194AC6DE617501x0S8L" TargetMode="External"/><Relationship Id="rId47" Type="http://schemas.openxmlformats.org/officeDocument/2006/relationships/hyperlink" Target="consultantplus://offline/ref=031363E94149243ADA0E304E2074CF90F2840AC21BD3CD195910FF3172A7752BA2194AC6DE61750Cx0SDL" TargetMode="External"/><Relationship Id="rId50" Type="http://schemas.openxmlformats.org/officeDocument/2006/relationships/hyperlink" Target="consultantplus://offline/ref=031363E94149243ADA0E304E2074CF90F2840AC31CD2CD195910FF3172A7752BA2194AC6DE617508x0S8L" TargetMode="External"/><Relationship Id="rId55" Type="http://schemas.openxmlformats.org/officeDocument/2006/relationships/hyperlink" Target="consultantplus://offline/ref=031363E94149243ADA0E304E2074CF90F2840AC21BD3CD195910FF3172A7752BA2194AC6DB60x7S7L" TargetMode="External"/><Relationship Id="rId7" Type="http://schemas.openxmlformats.org/officeDocument/2006/relationships/hyperlink" Target="consultantplus://offline/ref=031363E94149243ADA0E304E2074CF90F2860EC11BD8CD195910FF3172xAS7L" TargetMode="External"/><Relationship Id="rId12" Type="http://schemas.openxmlformats.org/officeDocument/2006/relationships/hyperlink" Target="consultantplus://offline/ref=031363E94149243ADA0E304E2074CF90F28505C512D3CD195910FF3172A7752BA2194AC6DE61740Cx0SDL" TargetMode="External"/><Relationship Id="rId17" Type="http://schemas.openxmlformats.org/officeDocument/2006/relationships/hyperlink" Target="consultantplus://offline/ref=031363E94149243ADA0E304E2074CF90F2860DC21ED3CD195910FF3172xAS7L" TargetMode="External"/><Relationship Id="rId25" Type="http://schemas.openxmlformats.org/officeDocument/2006/relationships/hyperlink" Target="consultantplus://offline/ref=031363E94149243ADA0E304E2074CF90F2850FC21CD7CD195910FF3172A7752BA2194AC6DE61750Cx0SBL" TargetMode="External"/><Relationship Id="rId33" Type="http://schemas.openxmlformats.org/officeDocument/2006/relationships/hyperlink" Target="consultantplus://offline/ref=031363E94149243ADA0E304E2074CF90F28209C713D7CD195910FF3172A7752BA2194AC6DE617509x0S9L" TargetMode="External"/><Relationship Id="rId38" Type="http://schemas.openxmlformats.org/officeDocument/2006/relationships/hyperlink" Target="consultantplus://offline/ref=031363E94149243ADA0E304E2074CF90F28209C713D7CD195910FF3172A7752BA2194AC6DE617500x0S6L" TargetMode="External"/><Relationship Id="rId46" Type="http://schemas.openxmlformats.org/officeDocument/2006/relationships/hyperlink" Target="consultantplus://offline/ref=031363E94149243ADA0E304E2074CF90F28505C512D3CD195910FF3172A7752BA2194AC6DE61740Cx0SDL"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031363E94149243ADA0E304E2074CF90F28705C11BD5CD195910FF3172A7752BA2194AC6DE607C01x0S8L" TargetMode="External"/><Relationship Id="rId20" Type="http://schemas.openxmlformats.org/officeDocument/2006/relationships/hyperlink" Target="consultantplus://offline/ref=031363E94149243ADA0E304E2074CF90F08009C01FDA90135149F33375A82A3CA55046C7DE6175x0SEL" TargetMode="External"/><Relationship Id="rId29" Type="http://schemas.openxmlformats.org/officeDocument/2006/relationships/hyperlink" Target="consultantplus://offline/ref=031363E94149243ADA0E304E2074CF90F28505C512D3CD195910FF3172A7752BA2194AC6DE61740Cx0SDL" TargetMode="External"/><Relationship Id="rId41" Type="http://schemas.openxmlformats.org/officeDocument/2006/relationships/hyperlink" Target="consultantplus://offline/ref=031363E94149243ADA0E304E2074CF90F28209C713D7CD195910FF3172A7752BA2194AC6DE617501x0SEL" TargetMode="External"/><Relationship Id="rId54" Type="http://schemas.openxmlformats.org/officeDocument/2006/relationships/hyperlink" Target="consultantplus://offline/ref=031363E94149243ADA0E304E2074CF90F2860BC41AD9CD195910FF3172A7752BA2194AC6DF6377x0S9L" TargetMode="External"/><Relationship Id="rId1" Type="http://schemas.openxmlformats.org/officeDocument/2006/relationships/styles" Target="styles.xml"/><Relationship Id="rId6" Type="http://schemas.openxmlformats.org/officeDocument/2006/relationships/hyperlink" Target="consultantplus://offline/ref=031363E94149243ADA0E304E2074CF90F28505C512D3CD195910FF3172A7752BA2194AC6DE61740Cx0SDL" TargetMode="External"/><Relationship Id="rId11" Type="http://schemas.openxmlformats.org/officeDocument/2006/relationships/hyperlink" Target="consultantplus://offline/ref=031363E94149243ADA0E304E2074CF90F2860BC41AD9CD195910FF3172A7752BA2194AC3DD61x7S6L" TargetMode="External"/><Relationship Id="rId24" Type="http://schemas.openxmlformats.org/officeDocument/2006/relationships/hyperlink" Target="consultantplus://offline/ref=031363E94149243ADA0E304E2074CF90F2860DC21DD2CD195910FF3172xAS7L" TargetMode="External"/><Relationship Id="rId32" Type="http://schemas.openxmlformats.org/officeDocument/2006/relationships/hyperlink" Target="consultantplus://offline/ref=031363E94149243ADA0E304E2074CF90F28209C713D7CD195910FF3172A7752BA2194AC6DE617509x0S9L" TargetMode="External"/><Relationship Id="rId37" Type="http://schemas.openxmlformats.org/officeDocument/2006/relationships/hyperlink" Target="consultantplus://offline/ref=031363E94149243ADA0E304E2074CF90F28209C713D7CD195910FF3172A7752BA2194AC6DE617501x0SFL" TargetMode="External"/><Relationship Id="rId40" Type="http://schemas.openxmlformats.org/officeDocument/2006/relationships/hyperlink" Target="consultantplus://offline/ref=031363E94149243ADA0E304E2074CF90F28209C713D7CD195910FF3172A7752BA2194AxCS6L" TargetMode="External"/><Relationship Id="rId45" Type="http://schemas.openxmlformats.org/officeDocument/2006/relationships/hyperlink" Target="consultantplus://offline/ref=031363E94149243ADA0E304E2074CF90F28209C713D7CD195910FF3172A7752BA2194AC6DE617501x0SAL" TargetMode="External"/><Relationship Id="rId53" Type="http://schemas.openxmlformats.org/officeDocument/2006/relationships/hyperlink" Target="consultantplus://offline/ref=031363E94149243ADA0E304E2074CF90F28705C11BD5CD195910FF3172A7752BA2194AC6DE63740Bx0SCL" TargetMode="External"/><Relationship Id="rId58" Type="http://schemas.openxmlformats.org/officeDocument/2006/relationships/fontTable" Target="fontTable.xml"/><Relationship Id="rId5" Type="http://schemas.openxmlformats.org/officeDocument/2006/relationships/hyperlink" Target="consultantplus://offline/ref=031363E94149243ADA0E304E2074CF90F28505C512D3CD195910FF3172A7752BA2194AC6DE61740Cx0SDL" TargetMode="External"/><Relationship Id="rId15" Type="http://schemas.openxmlformats.org/officeDocument/2006/relationships/hyperlink" Target="consultantplus://offline/ref=031363E94149243ADA0E304E2074CF90F28705C11BD5CD195910FF3172A7752BA2194AC6DE607C01x0SBL" TargetMode="External"/><Relationship Id="rId23" Type="http://schemas.openxmlformats.org/officeDocument/2006/relationships/hyperlink" Target="consultantplus://offline/ref=031363E94149243ADA0E304E2074CF90F2860DC21DD2CD195910FF3172A7752BA2194AC6DE61750Cx0SFL" TargetMode="External"/><Relationship Id="rId28" Type="http://schemas.openxmlformats.org/officeDocument/2006/relationships/hyperlink" Target="consultantplus://offline/ref=031363E94149243ADA0E304E2074CF90F28209C713D7CD195910FF3172xAS7L" TargetMode="External"/><Relationship Id="rId36" Type="http://schemas.openxmlformats.org/officeDocument/2006/relationships/hyperlink" Target="consultantplus://offline/ref=031363E94149243ADA0E304E2074CF90F28209C713D7CD195910FF3172A7752BA2194AC6DE61750Ex0SCL" TargetMode="External"/><Relationship Id="rId49" Type="http://schemas.openxmlformats.org/officeDocument/2006/relationships/hyperlink" Target="consultantplus://offline/ref=031363E94149243ADA0E304E2074CF90F2840AC21BD3CD195910FF3172A7752BA2194AC6DE61750Cx0SDL" TargetMode="External"/><Relationship Id="rId57" Type="http://schemas.openxmlformats.org/officeDocument/2006/relationships/hyperlink" Target="consultantplus://offline/ref=031363E94149243ADA0E304E2074CF90F2860BC41AD9CD195910FF3172A7752BA2194ACED967x7S5L" TargetMode="External"/><Relationship Id="rId10" Type="http://schemas.openxmlformats.org/officeDocument/2006/relationships/hyperlink" Target="consultantplus://offline/ref=031363E94149243ADA0E2D5A321CF596AD8C0CC512D3C74B0E12AE647CA27Dx7SBL" TargetMode="External"/><Relationship Id="rId19" Type="http://schemas.openxmlformats.org/officeDocument/2006/relationships/hyperlink" Target="consultantplus://offline/ref=031363E94149243ADA0E304E2074CF90F08009C01FDA90135149F33375A82A3CA55046C7DE6174x0SFL" TargetMode="External"/><Relationship Id="rId31" Type="http://schemas.openxmlformats.org/officeDocument/2006/relationships/hyperlink" Target="consultantplus://offline/ref=031363E94149243ADA0E304E2074CF90F28209C713D7CD195910FF3172xAS7L" TargetMode="External"/><Relationship Id="rId44" Type="http://schemas.openxmlformats.org/officeDocument/2006/relationships/hyperlink" Target="consultantplus://offline/ref=031363E94149243ADA0E304E2074CF90F28209C713D7CD195910FF3172A7752BA2194AC6DE617501x0SAL" TargetMode="External"/><Relationship Id="rId52" Type="http://schemas.openxmlformats.org/officeDocument/2006/relationships/hyperlink" Target="consultantplus://offline/ref=031363E94149243ADA0E304E2074CF90F2840AC21BD3CD195910FF3172A7752BA2194AC6DE61750Cx0SDL" TargetMode="External"/><Relationship Id="rId4" Type="http://schemas.openxmlformats.org/officeDocument/2006/relationships/hyperlink" Target="http://www.consultant.ru" TargetMode="External"/><Relationship Id="rId9" Type="http://schemas.openxmlformats.org/officeDocument/2006/relationships/hyperlink" Target="consultantplus://offline/ref=031363E94149243ADA0E304E2074CF90F28505C512D3CD195910FF3172A7752BA2194AC6DE61740Cx0SCL" TargetMode="External"/><Relationship Id="rId14" Type="http://schemas.openxmlformats.org/officeDocument/2006/relationships/hyperlink" Target="consultantplus://offline/ref=031363E94149243ADA0E304E2074CF90F2860DC61ED1CD195910FF3172A7752BA2194AC6DE61720Dx0S6L" TargetMode="External"/><Relationship Id="rId22" Type="http://schemas.openxmlformats.org/officeDocument/2006/relationships/hyperlink" Target="consultantplus://offline/ref=031363E94149243ADA0E304E2074CF90F2840ECE19D9CD195910FF3172xAS7L" TargetMode="External"/><Relationship Id="rId27" Type="http://schemas.openxmlformats.org/officeDocument/2006/relationships/hyperlink" Target="consultantplus://offline/ref=031363E94149243ADA0E304E2074CF90F28209C713D7CD195910FF3172xAS7L" TargetMode="External"/><Relationship Id="rId30" Type="http://schemas.openxmlformats.org/officeDocument/2006/relationships/hyperlink" Target="consultantplus://offline/ref=031363E94149243ADA0E304E2074CF90F2850AC71BD7CD195910FF3172A7752BA2194AC6DE617509x0SAL" TargetMode="External"/><Relationship Id="rId35" Type="http://schemas.openxmlformats.org/officeDocument/2006/relationships/hyperlink" Target="consultantplus://offline/ref=031363E94149243ADA0E304E2074CF90F28209C713D7CD195910FF3172A7752BA2194AC6DE61750Ex0SCL" TargetMode="External"/><Relationship Id="rId43" Type="http://schemas.openxmlformats.org/officeDocument/2006/relationships/hyperlink" Target="consultantplus://offline/ref=031363E94149243ADA0E304E2074CF90F28209C713D7CD195910FF3172A7752BA2194AC6DE617408x0SFL" TargetMode="External"/><Relationship Id="rId48" Type="http://schemas.openxmlformats.org/officeDocument/2006/relationships/hyperlink" Target="consultantplus://offline/ref=031363E94149243ADA0E304E2074CF90F28505C01BD3CD195910FF3172A7752BA2194AC6DE61750Bx0SDL" TargetMode="External"/><Relationship Id="rId56" Type="http://schemas.openxmlformats.org/officeDocument/2006/relationships/hyperlink" Target="consultantplus://offline/ref=031363E94149243ADA0E304E2074CF90F2860BC41AD9CD195910FF3172A7752BA2194AC3DB60x7S2L" TargetMode="External"/><Relationship Id="rId8" Type="http://schemas.openxmlformats.org/officeDocument/2006/relationships/hyperlink" Target="consultantplus://offline/ref=031363E94149243ADA0E304E2074CF90F2860EC11BD8CD195910FF3172xAS7L" TargetMode="External"/><Relationship Id="rId51" Type="http://schemas.openxmlformats.org/officeDocument/2006/relationships/hyperlink" Target="consultantplus://offline/ref=031363E94149243ADA0E304E2074CF90F28505C01BD3CD195910FF3172xAS7L"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2876</Words>
  <Characters>16397</Characters>
  <Application>Microsoft Office Word</Application>
  <DocSecurity>0</DocSecurity>
  <Lines>136</Lines>
  <Paragraphs>38</Paragraphs>
  <ScaleCrop>false</ScaleCrop>
  <Company>Grizli777</Company>
  <LinksUpToDate>false</LinksUpToDate>
  <CharactersWithSpaces>19235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2015-05-24T11:18:00Z</dcterms:created>
  <dcterms:modified xsi:type="dcterms:W3CDTF">2015-05-24T11:19:00Z</dcterms:modified>
</cp:coreProperties>
</file>