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E45" w:rsidRPr="00ED3E45" w:rsidRDefault="00ED3E45" w:rsidP="00ED3E4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МИНИСТЕРСТВО ФИНАНСОВ РОССИЙСКОЙ ФЕДЕРАЦИИ</w:t>
      </w:r>
    </w:p>
    <w:p w:rsidR="00ED3E45" w:rsidRPr="00ED3E45" w:rsidRDefault="00ED3E45" w:rsidP="00ED3E4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ПИСЬМО</w:t>
      </w:r>
    </w:p>
    <w:p w:rsidR="00ED3E45" w:rsidRPr="00ED3E45" w:rsidRDefault="00ED3E45" w:rsidP="00ED3E4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E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 14 июля 2016 г. N 03-04-06/41639</w:t>
      </w:r>
    </w:p>
    <w:p w:rsidR="00ED3E45" w:rsidRPr="00ED3E45" w:rsidRDefault="00ED3E45" w:rsidP="00ED3E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E4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Департамент налоговой и таможенной политики рассмотрел письмо по вопросу предоставления имущественного налогового вычета по налогу на доходы физических лиц и сообщает следующее.</w:t>
      </w:r>
    </w:p>
    <w:p w:rsidR="00ED3E45" w:rsidRPr="00ED3E45" w:rsidRDefault="00ED3E45" w:rsidP="00ED3E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D3E4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подпункту 2 пункта 1 и пункту 3 статьи 21, пункту 2 статьи 24 Налогового кодекса Российской Федерации (далее - Кодекс) право получать от Минфина России письменные разъяснения по вопросам применения законодательства Российской Федерации о налогах и сборах предоставлено налогоплательщикам, плательщикам сборов (статья 19 Кодекса) и налоговым агентам (пункт 1 статьи 24 Кодекса).</w:t>
      </w:r>
      <w:proofErr w:type="gramEnd"/>
    </w:p>
    <w:p w:rsidR="00ED3E45" w:rsidRPr="00ED3E45" w:rsidRDefault="00ED3E45" w:rsidP="00ED3E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E45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Письменные разъяснения по вопросам применения законодательства Российской Федерации о налогах и сборах Минфином России предоставляются организациям только в связи с выполнением ими обязанностей, соответственно, налогоплательщиков, плательщиков сборов, налоговых агентов.</w:t>
      </w:r>
    </w:p>
    <w:p w:rsidR="00ED3E45" w:rsidRPr="00ED3E45" w:rsidRDefault="00ED3E45" w:rsidP="00ED3E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E4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Налогоплательщик (плательщик сбора, налоговый агент) может участвовать в отношениях, регулируемых законодательством о налогах и сборах, через законного или уполномоченного представителя, если иное не предусмотрено Кодексом. При этом полномочия представителя должны быть документально подтверждены в соответствии с Кодексом и иными федеральными законами (статья 26 Кодекса).</w:t>
      </w:r>
    </w:p>
    <w:p w:rsidR="00ED3E45" w:rsidRPr="00ED3E45" w:rsidRDefault="00ED3E45" w:rsidP="00ED3E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D3E4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Положением о Министерстве финансов Российской Федерации (утверждено постановлением Правительства Российской Федерации от 30.06.2004 N 329) и Регламентом Министерства финансов Российской Федерации (утвержден приказом Министерства финансов Российской Федерации от 15.06.2012 N 82н) в Минфине рассматриваются индивидуальные и коллективные обращения граждан и организаций по вопросам, находящимся в сфере ведения Министерства.</w:t>
      </w:r>
      <w:proofErr w:type="gramEnd"/>
      <w:r w:rsidRPr="00ED3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если законодательством не установлено иное, в Министерстве не рассматриваются по существу обращения граждан и организаций по разъяснению (толкованию норм, терминов и понятий) законодательства Российской Федерации и практики его применения.</w:t>
      </w:r>
    </w:p>
    <w:p w:rsidR="00ED3E45" w:rsidRPr="00ED3E45" w:rsidRDefault="00ED3E45" w:rsidP="00ED3E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</w:t>
      </w:r>
      <w:proofErr w:type="gramStart"/>
      <w:r w:rsidRPr="00ED3E4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</w:t>
      </w:r>
      <w:proofErr w:type="gramEnd"/>
      <w:r w:rsidRPr="00ED3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в рассматриваемом письме отсутствует информация о налогоплательщике и не представлены документы, подтверждающие полномочия представлять конкретного налогоплательщика, оснований для рассмотрения запроса не имеется.</w:t>
      </w:r>
    </w:p>
    <w:p w:rsidR="00ED3E45" w:rsidRPr="00ED3E45" w:rsidRDefault="00ED3E45" w:rsidP="00ED3E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E45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тем сообщаем, что в соответствии с пунктом 3 статьи 210 Кодекса для доходов, в отношении которых предусмотрена налоговая ставка, установленная пунктом 1 статьи 224 Кодекса, налоговая база определяется как денежное выражение таких доходов, подлежащих налогообложению, уменьшенных на сумму, в частности, имущественных налоговых вычетов.</w:t>
      </w:r>
    </w:p>
    <w:p w:rsidR="00ED3E45" w:rsidRPr="00ED3E45" w:rsidRDefault="00ED3E45" w:rsidP="00ED3E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D3E4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Статьей 73 Договора о Евразийском экономическом союзе от 29 мая 2014 года предусмотрено, что в случае, если одно государство-член в соответствии с его законодательством и положениями международных договоров вправе облагать налогом доход налогового резидента (лица с постоянным местопребыванием) другого государства-</w:t>
      </w:r>
      <w:r w:rsidRPr="00ED3E4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члена в связи с работой по найму, осуществляемой в первом упомянутом государстве-члене, такой доход облагается в первом государстве-члене с первого дня</w:t>
      </w:r>
      <w:proofErr w:type="gramEnd"/>
      <w:r w:rsidRPr="00ED3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по найму по налоговым ставкам, предусмотренным для таких доходов физических лиц - налоговых резидентов (лиц с постоянным местопребыванием) этого первого государства-члена.</w:t>
      </w:r>
    </w:p>
    <w:p w:rsidR="00ED3E45" w:rsidRPr="00ED3E45" w:rsidRDefault="00ED3E45" w:rsidP="00ED3E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E4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с учетом положений статьи 73 Договора и статьи 224 Кодекса доходы от работы по найму, осуществляемой в Российской Федерации, полученные гражданами государств - членов Евразийского экономического союза, подлежат обложению налогом на доходы физических лиц с применением налоговой ставки 13 процентов.</w:t>
      </w:r>
    </w:p>
    <w:p w:rsidR="00ED3E45" w:rsidRPr="00ED3E45" w:rsidRDefault="00ED3E45" w:rsidP="00ED3E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E4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по итогам налогового периода определяется окончательный налоговый статус физического лица в зависимости от времени его нахождения в Российской Федерации в данном налоговом периоде.</w:t>
      </w:r>
    </w:p>
    <w:p w:rsidR="00ED3E45" w:rsidRPr="00ED3E45" w:rsidRDefault="00ED3E45" w:rsidP="00ED3E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E4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если по итогам налогового периода сотрудник организации не приобрел статус налогового резидента (находящегося в Российской Федерации менее 183 дней), его доход, полученный в данном налоговом периоде, подлежит обложению налогом на доходы физических лиц по ставке 30 процентов. Соответственно, право на имущественный налоговый вычет не возникает.</w:t>
      </w:r>
    </w:p>
    <w:p w:rsidR="00ED3E45" w:rsidRPr="00ED3E45" w:rsidRDefault="00ED3E45" w:rsidP="00ED3E4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E4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директора Департамента</w:t>
      </w:r>
    </w:p>
    <w:p w:rsidR="00ED3E45" w:rsidRPr="00ED3E45" w:rsidRDefault="00ED3E45" w:rsidP="00ED3E4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E45">
        <w:rPr>
          <w:rFonts w:ascii="Times New Roman" w:eastAsia="Times New Roman" w:hAnsi="Times New Roman" w:cs="Times New Roman"/>
          <w:sz w:val="24"/>
          <w:szCs w:val="24"/>
          <w:lang w:eastAsia="ru-RU"/>
        </w:rPr>
        <w:t>Р.А.СААКЯН</w:t>
      </w:r>
    </w:p>
    <w:p w:rsidR="00ED3E45" w:rsidRPr="00ED3E45" w:rsidRDefault="00ED3E45" w:rsidP="00ED3E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Источник: </w:t>
      </w:r>
      <w:hyperlink r:id="rId4" w:tgtFrame="_blank" w:tooltip="КонсультантПлюс" w:history="1">
        <w:proofErr w:type="spellStart"/>
        <w:r w:rsidRPr="00ED3E4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КонсультантПлюс</w:t>
        </w:r>
        <w:proofErr w:type="spellEnd"/>
      </w:hyperlink>
      <w:r w:rsidRPr="00ED3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A0124" w:rsidRDefault="00DA0124"/>
    <w:sectPr w:rsidR="00DA0124" w:rsidSect="00DA01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3E45"/>
    <w:rsid w:val="00DA0124"/>
    <w:rsid w:val="00ED3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1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3E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D3E45"/>
    <w:rPr>
      <w:b/>
      <w:bCs/>
    </w:rPr>
  </w:style>
  <w:style w:type="character" w:styleId="a5">
    <w:name w:val="Hyperlink"/>
    <w:basedOn w:val="a0"/>
    <w:uiPriority w:val="99"/>
    <w:semiHidden/>
    <w:unhideWhenUsed/>
    <w:rsid w:val="00ED3E4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36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17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udit-it.ru/bitrix/redirect.php?goto=http%3A%2F%2F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637</Words>
  <Characters>3636</Characters>
  <Application>Microsoft Office Word</Application>
  <DocSecurity>0</DocSecurity>
  <Lines>30</Lines>
  <Paragraphs>8</Paragraphs>
  <ScaleCrop>false</ScaleCrop>
  <Company/>
  <LinksUpToDate>false</LinksUpToDate>
  <CharactersWithSpaces>4265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buhg</dc:creator>
  <cp:lastModifiedBy>buhg</cp:lastModifiedBy>
  <cp:revision>1</cp:revision>
  <dcterms:created xsi:type="dcterms:W3CDTF">2016-08-17T08:33:00Z</dcterms:created>
  <dcterms:modified xsi:type="dcterms:W3CDTF">2016-08-17T08:34:00Z</dcterms:modified>
</cp:coreProperties>
</file>