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05"/>
        <w:gridCol w:w="8912"/>
      </w:tblGrid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Новое в версии 3.0.51.14</w:t>
            </w:r>
          </w:p>
        </w:tc>
      </w:tr>
      <w:tr>
        <w:trPr>
          <w:trHeight w:val="135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Зарплата и кадры. Электронный листок нетрудоспособности (ЭЛН)</w:t>
            </w:r>
          </w:p>
        </w:tc>
      </w:tr>
      <w:tr>
        <w:trPr>
          <w:trHeight w:val="11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0"/>
                <w:szCs w:val="20"/>
              </w:rPr>
              <w:t>Документ "Больничный лист"</w:t>
            </w:r>
          </w:p>
        </w:tc>
      </w:tr>
      <w:tr>
        <w:trPr>
          <w:trHeight w:val="12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При вводе электронного больничного листа заполните следующую информацию:</w:t>
              <w:br/>
              <w:t>
- организацию (если ведется учет по нескольким организациям);</w:t>
              <w:br/>
              <w:t>
- сотрудника;</w:t>
              <w:br/>
              <w:t>
- номер листка нетрудоспособности.</w:t>
              <w:br/>
              <w:t>
Остальная информация в документе заполнится автоматически по кнопке "Получить данные из ФСС". Сведения о медицинской организации можно просмотреть по гиперссылке с номером больничного листа.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both"/>
            </w:pPr>
            <w:r>
              <w:rPr>
                <w:rFonts w:ascii="Arial" w:hAnsi="Arial"/>
                <w:sz w:val="16"/>
                <w:szCs w:val="16"/>
              </w:rPr>
              <w:t>Подробнее: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  <w:color w:val="5A82A0"/>
              </w:rPr>
              <w:t>http://its.1c.ru/updinfo/accounting/3.0.51.14#zakl1,filter000000060000286004118090</w:t>
            </w:r>
          </w:p>
        </w:tc>
      </w:tr>
      <w:tr>
        <w:trPr>
          <w:trHeight w:val="135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0"/>
                <w:szCs w:val="20"/>
              </w:rPr>
              <w:t>Реестр ЭЛН для отправки в ФСС</w:t>
            </w:r>
          </w:p>
        </w:tc>
      </w:tr>
      <w:tr>
        <w:trPr>
          <w:trHeight w:val="12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Реестр ЭЛН для отправки в ФСС можно создать в раздел Отчеты - 1С-Отчетность - Регламентированные отчеты. По кнопке "Заполнить" в реестре указываются все больничные листы, которые еще не отправлены в ФСС. Также можно вручную подобрать нужный больничный лист по кнопке "Добавить".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both"/>
            </w:pPr>
            <w:r>
              <w:rPr>
                <w:rFonts w:ascii="Arial" w:hAnsi="Arial"/>
                <w:sz w:val="16"/>
                <w:szCs w:val="16"/>
              </w:rPr>
              <w:t>Подробнее: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  <w:color w:val="5A82A0"/>
              </w:rPr>
              <w:t>http://its.1c.ru/updinfo/accounting/3.0.51.14#zakl2,filter000000060000286004118090</w:t>
            </w:r>
          </w:p>
        </w:tc>
      </w:tr>
      <w:tr>
        <w:trPr>
          <w:trHeight w:val="135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4"/>
                <w:szCs w:val="24"/>
              </w:rPr>
              <w:t>Регламентированные отчеты</w:t>
            </w:r>
          </w:p>
        </w:tc>
      </w:tr>
      <w:tr>
        <w:trPr>
          <w:trHeight w:val="11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0"/>
                <w:szCs w:val="20"/>
              </w:rPr>
              <w:t>Расширение номенклатуры форм регламентированной отчетности </w:t>
            </w:r>
          </w:p>
        </w:tc>
      </w:tr>
      <w:tr>
        <w:trPr>
          <w:trHeight w:val="12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состав форм регламентированной отчетности добавлен декларация по земельному налогу (утверждена приказом ФНС России от 10.05.2017 № ММВ-7-21/347@), которая применяется после 02.08.2017 с отчетности за 2017 год.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both"/>
            </w:pPr>
            <w:r>
              <w:rPr>
                <w:rFonts w:ascii="Arial" w:hAnsi="Arial"/>
                <w:sz w:val="16"/>
                <w:szCs w:val="16"/>
              </w:rPr>
              <w:t>Подробнее: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  <w:color w:val="5A82A0"/>
              </w:rPr>
              <w:t>http://its.1c.ru/updinfo/accounting/3.0.51.14#zakl3,filter000000060000286004118090</w:t>
            </w:r>
          </w:p>
        </w:tc>
      </w:tr>
      <w:tr>
        <w:trPr>
          <w:trHeight w:val="11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0"/>
                <w:szCs w:val="20"/>
              </w:rPr>
              <w:t>Расширение номенклатуры документов, используемых при взаимодействии страхователей и ФСС РФ</w:t>
            </w:r>
          </w:p>
        </w:tc>
      </w:tr>
      <w:tr>
        <w:trPr>
          <w:trHeight w:val="12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состав документов добавлен комплект документов о предоставлении отсрочки (рассрочки) по уплате страховых взносов, пеней и штрафов (утверждены приказом ФСС РФ от 25.04.2017 № 196), в составе:</w:t>
              <w:br/>
              <w:t>
- заявление о предоставлении отсрочки (рассрочки) по уплате страховых взносов, пеней и штрафов</w:t>
              <w:br/>
              <w:t>
- обязательство о соблюдении страхователем условий, на которых принимается решение о предоставлении отсрочки (рассрочки)</w:t>
              <w:br/>
              <w:t>
- график погашения задолженности по страховым взносам, пеням и штрафам в ФСС РФ.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both"/>
            </w:pPr>
            <w:r>
              <w:rPr>
                <w:rFonts w:ascii="Arial" w:hAnsi="Arial"/>
                <w:sz w:val="16"/>
                <w:szCs w:val="16"/>
              </w:rPr>
              <w:t>Подробнее: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  <w:color w:val="5A82A0"/>
              </w:rPr>
              <w:t>http://its.1c.ru/updinfo/accounting/3.0.51.14#zakl4,filter000000060000286004118090</w:t>
            </w:r>
          </w:p>
        </w:tc>
      </w:tr>
      <w:tr>
        <w:trPr>
          <w:trHeight w:val="11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0"/>
                <w:szCs w:val="20"/>
              </w:rPr>
              <w:t>Методические изменения</w:t>
            </w:r>
          </w:p>
        </w:tc>
      </w:tr>
      <w:tr>
        <w:trPr>
          <w:trHeight w:val="12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соответствии со xsd-схемой версии 02 декларации и расчета авансов по налогу на имущество в редакции приказа ФНС России от 31.03.2017 № ММВ-7-21/271@, количество знакомест в числителе и знаменателе показателей по строкам с кодами 035 Разделов 3 увеличено на 4 знакоместа соответственно. Изменения применяются с 26.06.2017.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both"/>
            </w:pPr>
            <w:r>
              <w:rPr>
                <w:rFonts w:ascii="Arial" w:hAnsi="Arial"/>
                <w:sz w:val="16"/>
                <w:szCs w:val="16"/>
              </w:rPr>
              <w:t>Подробнее: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  <w:color w:val="5A82A0"/>
              </w:rPr>
              <w:t>http://its.1c.ru/updinfo/accounting/3.0.51.14#zakl5,filter000000060000286004118090</w:t>
            </w:r>
          </w:p>
        </w:tc>
      </w:tr>
      <w:tr>
        <w:trPr>
          <w:trHeight w:val="11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C0C0C0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20"/>
                <w:szCs w:val="20"/>
              </w:rPr>
              <w:t>Изменения в механизме документооборота с контролирующими органами</w:t>
            </w:r>
          </w:p>
        </w:tc>
      </w:tr>
      <w:tr>
        <w:trPr>
          <w:trHeight w:val="12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Поддержана отправка формы СЗВ-ИСХ, в соответствии с постановлением Правления ПФ РФ от 11.01.2017 № 3п.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both"/>
            </w:pPr>
            <w:r>
              <w:rPr>
                <w:rFonts w:ascii="Arial" w:hAnsi="Arial"/>
                <w:sz w:val="16"/>
                <w:szCs w:val="16"/>
              </w:rPr>
              <w:t>Подробнее:</w:t>
            </w:r>
          </w:p>
        </w:tc>
      </w:tr>
      <w:tr>
        <w:trPr/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  <w:color w:val="5A82A0"/>
              </w:rPr>
              <w:t>http://its.1c.ru/updinfo/accounting/3.0.51.14#zakl6,filter000000060000286004118090</w:t>
            </w:r>
          </w:p>
        </w:tc>
      </w:tr>
      <w:tr>
        <w:trPr>
          <w:trHeight w:val="135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05" w:type="dxa"/>
            <w:shd w:val="clear" w:color="FFFFFF" w:fill="auto"/>
            <w:textDirection w:val="lrTb"/>
            <w:vAlign w:val="bottom"/>
          </w:tcPr>
          <w:p>
            <w:pPr>
              <w:wordWrap w:val="1"/>
            </w:pPr>
          </w:p>
        </w:tc>
        <w:tc>
          <w:tcPr>
            <w:tcW w:w="8912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