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9F9" w:rsidRDefault="00E609F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609F9" w:rsidRDefault="00E609F9">
      <w:pPr>
        <w:pStyle w:val="ConsPlusNormal"/>
        <w:jc w:val="both"/>
        <w:outlineLvl w:val="0"/>
      </w:pPr>
    </w:p>
    <w:p w:rsidR="00E609F9" w:rsidRDefault="00E609F9">
      <w:pPr>
        <w:pStyle w:val="ConsPlusNormal"/>
        <w:jc w:val="right"/>
      </w:pPr>
      <w:r>
        <w:t>"Торговля: бухгалтерский учет и налогообложение", 2017, N 3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Title"/>
        <w:jc w:val="center"/>
      </w:pPr>
      <w:r>
        <w:t>ПРОДАЖА ТОВАРОВ БЕЗ ВВОЗА НА ТЕРРИТОРИЮ РФ</w:t>
      </w:r>
    </w:p>
    <w:p w:rsidR="00E609F9" w:rsidRDefault="00E609F9">
      <w:pPr>
        <w:pStyle w:val="ConsPlusTitle"/>
        <w:jc w:val="center"/>
      </w:pPr>
      <w:r>
        <w:t>И ВАЛЮТНОЕ ЗАКОНОДАТЕЛЬСТВО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>Торговая организация закупает и реализует импортные товары без ввоза их на территорию РФ (доставка осуществляется со склада поставщика - резидента Германии на склад покупателя - резидента Литвы). Обязана ли эта организация оформлять паспорт сделки? Какие еще действия она должна совершить во исполнение требований валютного законодательства?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jc w:val="center"/>
        <w:outlineLvl w:val="0"/>
      </w:pPr>
      <w:r>
        <w:t>Определимся с понятиями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 xml:space="preserve">Приобретение (отчуждение) резидентом у резидента (резидентом у нерезидента либо нерезидентом у резидента) валютных ценностей (в том числе иностранной валюты и внешних ценных бумаг), а также их </w:t>
      </w:r>
      <w:r>
        <w:rPr>
          <w:b/>
        </w:rPr>
        <w:t>использование в качестве средства платежа</w:t>
      </w:r>
      <w:r>
        <w:t xml:space="preserve"> являются валютными операциями (</w:t>
      </w:r>
      <w:hyperlink r:id="rId5" w:history="1">
        <w:r>
          <w:rPr>
            <w:color w:val="0000FF"/>
          </w:rPr>
          <w:t>п. 5</w:t>
        </w:r>
      </w:hyperlink>
      <w:r>
        <w:t xml:space="preserve">, </w:t>
      </w:r>
      <w:hyperlink r:id="rId6" w:history="1">
        <w:r>
          <w:rPr>
            <w:color w:val="0000FF"/>
          </w:rPr>
          <w:t>9 ст. 1</w:t>
        </w:r>
      </w:hyperlink>
      <w:r>
        <w:t xml:space="preserve"> Закона о валютном регулировании </w:t>
      </w:r>
      <w:hyperlink w:anchor="P12" w:history="1">
        <w:r>
          <w:rPr>
            <w:color w:val="0000FF"/>
          </w:rPr>
          <w:t>&lt;1&gt;</w:t>
        </w:r>
      </w:hyperlink>
      <w:r>
        <w:t>). Иными словами, получение на валютные счета компании валютной выручки, а также ее расходование признаются валютными операциями со всеми вытекающими последствиями.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609F9" w:rsidRDefault="00E609F9">
      <w:pPr>
        <w:pStyle w:val="ConsPlusNormal"/>
        <w:spacing w:before="220"/>
        <w:ind w:firstLine="540"/>
        <w:jc w:val="both"/>
      </w:pPr>
      <w:bookmarkStart w:id="0" w:name="P12"/>
      <w:bookmarkEnd w:id="0"/>
      <w:r>
        <w:t xml:space="preserve">&lt;1&gt; Федеральный </w:t>
      </w:r>
      <w:hyperlink r:id="rId7" w:history="1">
        <w:r>
          <w:rPr>
            <w:color w:val="0000FF"/>
          </w:rPr>
          <w:t>закон</w:t>
        </w:r>
      </w:hyperlink>
      <w:r>
        <w:t xml:space="preserve"> от 10.12.2003 N 173-ФЗ "О валютном регулировании и валютном контроле".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 xml:space="preserve">Валютные операции между резидентами и нерезидентами осуществляются без ограничений, за исключением валютных операций, предусмотренных </w:t>
      </w:r>
      <w:hyperlink r:id="rId8" w:history="1">
        <w:r>
          <w:rPr>
            <w:color w:val="0000FF"/>
          </w:rPr>
          <w:t>ст. 7</w:t>
        </w:r>
      </w:hyperlink>
      <w:r>
        <w:t xml:space="preserve">, </w:t>
      </w:r>
      <w:hyperlink r:id="rId9" w:history="1">
        <w:r>
          <w:rPr>
            <w:color w:val="0000FF"/>
          </w:rPr>
          <w:t>8</w:t>
        </w:r>
      </w:hyperlink>
      <w:r>
        <w:t xml:space="preserve"> и </w:t>
      </w:r>
      <w:hyperlink r:id="rId10" w:history="1">
        <w:r>
          <w:rPr>
            <w:color w:val="0000FF"/>
          </w:rPr>
          <w:t>11</w:t>
        </w:r>
      </w:hyperlink>
      <w:r>
        <w:t xml:space="preserve"> названного Закона, в отношении которых ограничения устанавливаются в целях предотвращения существенного сокращения золотовалютных резервов, резких колебаний курса валюты РФ, а также для поддержания устойчивости платежного баланса РФ (</w:t>
      </w:r>
      <w:hyperlink r:id="rId11" w:history="1">
        <w:r>
          <w:rPr>
            <w:color w:val="0000FF"/>
          </w:rPr>
          <w:t>ст. 6</w:t>
        </w:r>
      </w:hyperlink>
      <w:r>
        <w:t xml:space="preserve"> Закона о валютном регулировании).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Таким образом, валютное законодательство РФ не запрещает осуществлять расчеты при покупке товара за пределами РФ и его перепродаже без завоза на таможенную территорию РФ.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12" w:history="1">
        <w:r>
          <w:rPr>
            <w:color w:val="0000FF"/>
          </w:rPr>
          <w:t>п. 4 ст. 5</w:t>
        </w:r>
      </w:hyperlink>
      <w:r>
        <w:t xml:space="preserve">, </w:t>
      </w:r>
      <w:hyperlink r:id="rId13" w:history="1">
        <w:r>
          <w:rPr>
            <w:color w:val="0000FF"/>
          </w:rPr>
          <w:t>ст. 20</w:t>
        </w:r>
      </w:hyperlink>
      <w:r>
        <w:t xml:space="preserve"> Закона о валютном регулировании Центробанк устанавливает: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- единые формы учета и отчетности по валютным операциям, а также порядок и сроки их представления;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- единые правила оформления резидентами в уполномоченных банках паспорта сделки при осуществлении валютных операций между резидентами и нерезидентами.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 xml:space="preserve">В целях реализации названных выше полномочий Банк России утвердил </w:t>
      </w:r>
      <w:hyperlink r:id="rId14" w:history="1">
        <w:r>
          <w:rPr>
            <w:color w:val="0000FF"/>
          </w:rPr>
          <w:t>Инструкцию</w:t>
        </w:r>
      </w:hyperlink>
      <w:r>
        <w:t xml:space="preserve"> от 04.06.2012 N 138-И "О порядке представления резидентами и нерезидентами уполномоченным банкам документов и информации, связанных с проведением валютных операций, порядке оформления паспортов сделок, а также порядке учета уполномоченными банками валютных операций и контроля за их проведением" (далее - Инструкция). Именно в ней мы и будем искать ответы на поставленные вопросы.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jc w:val="center"/>
        <w:outlineLvl w:val="0"/>
      </w:pPr>
      <w:r>
        <w:t>О формах учета и отчетности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 xml:space="preserve">В соответствии с </w:t>
      </w:r>
      <w:hyperlink r:id="rId15" w:history="1">
        <w:r>
          <w:rPr>
            <w:color w:val="0000FF"/>
          </w:rPr>
          <w:t>п. 1.5</w:t>
        </w:r>
      </w:hyperlink>
      <w:r>
        <w:t xml:space="preserve"> Инструкции формами учета по валютным операциям резидентов являются: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lastRenderedPageBreak/>
        <w:t xml:space="preserve">- </w:t>
      </w:r>
      <w:hyperlink r:id="rId16" w:history="1">
        <w:r>
          <w:rPr>
            <w:color w:val="0000FF"/>
          </w:rPr>
          <w:t>справка</w:t>
        </w:r>
      </w:hyperlink>
      <w:r>
        <w:t xml:space="preserve"> о валютных операциях;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 xml:space="preserve">- </w:t>
      </w:r>
      <w:hyperlink r:id="rId17" w:history="1">
        <w:r>
          <w:rPr>
            <w:color w:val="0000FF"/>
          </w:rPr>
          <w:t>справка</w:t>
        </w:r>
      </w:hyperlink>
      <w:r>
        <w:t xml:space="preserve"> о подтверждающих документах.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 xml:space="preserve">Указанные документы должны представляться в уполномоченный банк при осуществлении операций, связанных </w:t>
      </w:r>
      <w:r>
        <w:rPr>
          <w:b/>
        </w:rPr>
        <w:t>с зачислением иностранной валюты</w:t>
      </w:r>
      <w:r>
        <w:t xml:space="preserve"> на транзитный валютный счет или </w:t>
      </w:r>
      <w:r>
        <w:rPr>
          <w:b/>
        </w:rPr>
        <w:t>со списанием иностранной валюты</w:t>
      </w:r>
      <w:r>
        <w:t xml:space="preserve"> с расчетного счета в иностранной валюте (</w:t>
      </w:r>
      <w:hyperlink r:id="rId18" w:history="1">
        <w:r>
          <w:rPr>
            <w:color w:val="0000FF"/>
          </w:rPr>
          <w:t>п. 2.1</w:t>
        </w:r>
      </w:hyperlink>
      <w:r>
        <w:t xml:space="preserve"> Инструкции). Сроки представления справки и документов, связанных с проведением валютных операций и указанных в справке, установлены </w:t>
      </w:r>
      <w:hyperlink r:id="rId19" w:history="1">
        <w:r>
          <w:rPr>
            <w:color w:val="0000FF"/>
          </w:rPr>
          <w:t>п. 2.3</w:t>
        </w:r>
      </w:hyperlink>
      <w:r>
        <w:t xml:space="preserve">, </w:t>
      </w:r>
      <w:hyperlink r:id="rId20" w:history="1">
        <w:r>
          <w:rPr>
            <w:color w:val="0000FF"/>
          </w:rPr>
          <w:t>2.5</w:t>
        </w:r>
      </w:hyperlink>
      <w:r>
        <w:t xml:space="preserve"> Инструкции.</w:t>
      </w:r>
    </w:p>
    <w:p w:rsidR="00E609F9" w:rsidRDefault="00E609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102"/>
      </w:tblGrid>
      <w:tr w:rsidR="00E609F9">
        <w:tc>
          <w:tcPr>
            <w:tcW w:w="3969" w:type="dxa"/>
            <w:tcBorders>
              <w:left w:val="nil"/>
            </w:tcBorders>
            <w:vAlign w:val="center"/>
          </w:tcPr>
          <w:p w:rsidR="00E609F9" w:rsidRDefault="00E609F9">
            <w:pPr>
              <w:pStyle w:val="ConsPlusNormal"/>
              <w:jc w:val="center"/>
            </w:pPr>
            <w:r>
              <w:t>Случай-основание</w:t>
            </w:r>
          </w:p>
        </w:tc>
        <w:tc>
          <w:tcPr>
            <w:tcW w:w="5102" w:type="dxa"/>
            <w:tcBorders>
              <w:right w:val="nil"/>
            </w:tcBorders>
            <w:vAlign w:val="center"/>
          </w:tcPr>
          <w:p w:rsidR="00E609F9" w:rsidRDefault="00E609F9">
            <w:pPr>
              <w:pStyle w:val="ConsPlusNormal"/>
              <w:jc w:val="center"/>
            </w:pPr>
            <w:r>
              <w:t>Сроки представления справки и документов</w:t>
            </w:r>
          </w:p>
        </w:tc>
      </w:tr>
      <w:tr w:rsidR="00E609F9">
        <w:tc>
          <w:tcPr>
            <w:tcW w:w="3969" w:type="dxa"/>
            <w:tcBorders>
              <w:left w:val="nil"/>
            </w:tcBorders>
          </w:tcPr>
          <w:p w:rsidR="00E609F9" w:rsidRDefault="00E609F9">
            <w:pPr>
              <w:pStyle w:val="ConsPlusNormal"/>
              <w:jc w:val="both"/>
            </w:pPr>
            <w:r>
              <w:t>При зачислении иностранной валюты на транзитный валютный счет</w:t>
            </w:r>
          </w:p>
        </w:tc>
        <w:tc>
          <w:tcPr>
            <w:tcW w:w="5102" w:type="dxa"/>
            <w:tcBorders>
              <w:right w:val="nil"/>
            </w:tcBorders>
          </w:tcPr>
          <w:p w:rsidR="00E609F9" w:rsidRDefault="00E609F9">
            <w:pPr>
              <w:pStyle w:val="ConsPlusNormal"/>
              <w:jc w:val="both"/>
            </w:pPr>
            <w:r>
              <w:t>Не позднее 15 рабочих дней после даты ее зачисления, указанной в уведомлении уполномоченного банка о ее зачислении</w:t>
            </w:r>
          </w:p>
        </w:tc>
      </w:tr>
      <w:tr w:rsidR="00E609F9">
        <w:tc>
          <w:tcPr>
            <w:tcW w:w="3969" w:type="dxa"/>
            <w:tcBorders>
              <w:left w:val="nil"/>
            </w:tcBorders>
          </w:tcPr>
          <w:p w:rsidR="00E609F9" w:rsidRDefault="00E609F9">
            <w:pPr>
              <w:pStyle w:val="ConsPlusNormal"/>
              <w:jc w:val="both"/>
            </w:pPr>
            <w:r>
              <w:t>При списании иностранной валюты с расчетного счета в иностранной валюте</w:t>
            </w:r>
          </w:p>
        </w:tc>
        <w:tc>
          <w:tcPr>
            <w:tcW w:w="5102" w:type="dxa"/>
            <w:tcBorders>
              <w:right w:val="nil"/>
            </w:tcBorders>
          </w:tcPr>
          <w:p w:rsidR="00E609F9" w:rsidRDefault="00E609F9">
            <w:pPr>
              <w:pStyle w:val="ConsPlusNormal"/>
              <w:jc w:val="both"/>
            </w:pPr>
            <w:r>
              <w:t>Одновременно с распоряжением о переводе иностранной валюты</w:t>
            </w:r>
          </w:p>
        </w:tc>
      </w:tr>
      <w:tr w:rsidR="00E609F9">
        <w:tc>
          <w:tcPr>
            <w:tcW w:w="3969" w:type="dxa"/>
            <w:tcBorders>
              <w:left w:val="nil"/>
            </w:tcBorders>
          </w:tcPr>
          <w:p w:rsidR="00E609F9" w:rsidRDefault="00E609F9">
            <w:pPr>
              <w:pStyle w:val="ConsPlusNormal"/>
              <w:jc w:val="both"/>
            </w:pPr>
            <w:r>
              <w:t xml:space="preserve">При списании иностранной валюты с расчетного счета в иностранной валюте с использованием </w:t>
            </w:r>
            <w:r>
              <w:rPr>
                <w:b/>
              </w:rPr>
              <w:t>банковской карты</w:t>
            </w:r>
          </w:p>
        </w:tc>
        <w:tc>
          <w:tcPr>
            <w:tcW w:w="5102" w:type="dxa"/>
            <w:tcBorders>
              <w:right w:val="nil"/>
            </w:tcBorders>
          </w:tcPr>
          <w:p w:rsidR="00E609F9" w:rsidRDefault="00E609F9">
            <w:pPr>
              <w:pStyle w:val="ConsPlusNormal"/>
              <w:jc w:val="both"/>
            </w:pPr>
            <w:r>
              <w:t>Справка о валютных операциях и документы, связанные с проведением таких валютных операций, не представляются в уполномоченный банк, за исключением случая осуществления валютных операций по контракту, по которому оформлен паспорт сделки. В этом случае справка и соответствующие документы представляются не позднее 15 рабочих дней после месяца, в котором была осуществлена соответствующая валютная операция с использованием банковской карты</w:t>
            </w:r>
          </w:p>
        </w:tc>
      </w:tr>
    </w:tbl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 xml:space="preserve">Справка о валютных операциях заполняется резидентом в одном экземпляре по </w:t>
      </w:r>
      <w:hyperlink r:id="rId21" w:history="1">
        <w:r>
          <w:rPr>
            <w:color w:val="0000FF"/>
          </w:rPr>
          <w:t>форме</w:t>
        </w:r>
      </w:hyperlink>
      <w:r>
        <w:t>, приведенной в приложении 1 к Инструкции.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Что касается подтверждающих документов... Их перечень валютным законодательством не установлен. В качестве таковых могут быть использованы договоры (контракты), инвойсы (счета, спецификации), товарные накладные, CMR.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Таким образом, торговая организация, осуществляющая закупку и реализацию импортных товаров без ввоза их на территорию РФ, обязана в установленные сроки представить в уполномоченный банк справку о валютных операциях с приложением подтверждающих документов.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jc w:val="center"/>
        <w:outlineLvl w:val="0"/>
      </w:pPr>
      <w:r>
        <w:t xml:space="preserve">О </w:t>
      </w:r>
      <w:hyperlink r:id="rId22" w:history="1">
        <w:r>
          <w:rPr>
            <w:color w:val="0000FF"/>
          </w:rPr>
          <w:t>паспорте</w:t>
        </w:r>
      </w:hyperlink>
      <w:r>
        <w:t xml:space="preserve"> сделки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 xml:space="preserve">В соответствии с </w:t>
      </w:r>
      <w:hyperlink r:id="rId23" w:history="1">
        <w:r>
          <w:rPr>
            <w:color w:val="0000FF"/>
          </w:rPr>
          <w:t>п. 5.1</w:t>
        </w:r>
      </w:hyperlink>
      <w:r>
        <w:t xml:space="preserve">, </w:t>
      </w:r>
      <w:hyperlink r:id="rId24" w:history="1">
        <w:r>
          <w:rPr>
            <w:color w:val="0000FF"/>
          </w:rPr>
          <w:t>5.1.1</w:t>
        </w:r>
      </w:hyperlink>
      <w:r>
        <w:t xml:space="preserve">, </w:t>
      </w:r>
      <w:hyperlink r:id="rId25" w:history="1">
        <w:r>
          <w:rPr>
            <w:color w:val="0000FF"/>
          </w:rPr>
          <w:t>6.1</w:t>
        </w:r>
      </w:hyperlink>
      <w:r>
        <w:t xml:space="preserve"> Инструкции обязанность по оформлению паспорта сделки распространяется на валютные операции, осуществленные между резидентом и нерезидентом, связанные с расчетами через счета резидентов по договорам (в том числе агентским, договорам комиссии, поручения), предусматривающим при осуществлении внешнеторговой деятельности </w:t>
      </w:r>
      <w:r>
        <w:rPr>
          <w:b/>
        </w:rPr>
        <w:t>вывоз</w:t>
      </w:r>
      <w:r>
        <w:t xml:space="preserve"> с территории РФ или </w:t>
      </w:r>
      <w:r>
        <w:rPr>
          <w:b/>
        </w:rPr>
        <w:t>ввоз</w:t>
      </w:r>
      <w:r>
        <w:t xml:space="preserve"> на территорию РФ товаров.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>Для справки. Внешняя торговля товарами - это импорт и (или) экспорт товаров (</w:t>
      </w:r>
      <w:hyperlink r:id="rId26" w:history="1">
        <w:r>
          <w:rPr>
            <w:color w:val="0000FF"/>
          </w:rPr>
          <w:t>пп. 7 ст. 2</w:t>
        </w:r>
      </w:hyperlink>
      <w:r>
        <w:t xml:space="preserve"> Федерального закона от 08.12.2003 N 164-ФЗ "Об основах государственного регулирования внешнеторговой деятельности"). В свою очередь, под импортом товаров понимается ввоз товара в РФ без обязательства об обратном вывозе, под экспортом товаров - вывоз товара из РФ без </w:t>
      </w:r>
      <w:r>
        <w:lastRenderedPageBreak/>
        <w:t>обязательства об обратном ввозе (</w:t>
      </w:r>
      <w:hyperlink r:id="rId27" w:history="1">
        <w:r>
          <w:rPr>
            <w:color w:val="0000FF"/>
          </w:rPr>
          <w:t>пп. 10</w:t>
        </w:r>
      </w:hyperlink>
      <w:r>
        <w:t xml:space="preserve">, </w:t>
      </w:r>
      <w:hyperlink r:id="rId28" w:history="1">
        <w:r>
          <w:rPr>
            <w:color w:val="0000FF"/>
          </w:rPr>
          <w:t>28 ст. 2</w:t>
        </w:r>
      </w:hyperlink>
      <w:r>
        <w:t xml:space="preserve"> названного Закона).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>Поскольку в рассматриваемом случае торговая организация не осуществляет ввоз (вывоз) товаров на территорию РФ (с территории РФ), обязанности по оформлению паспорта сделки, по нашему мнению, у нее нет.</w:t>
      </w:r>
    </w:p>
    <w:p w:rsidR="00E609F9" w:rsidRDefault="00E609F9">
      <w:pPr>
        <w:pStyle w:val="ConsPlusNormal"/>
        <w:spacing w:before="220"/>
        <w:ind w:firstLine="540"/>
        <w:jc w:val="both"/>
      </w:pPr>
      <w:r>
        <w:t>Кроме того, следует помнить, что паспорт сделки оформляется только в случае, если сумма обязательств по контракту равна или превышает 50 тыс. долларов США. Если сумма контракта меньше обозначенного лимита, паспорт сделки не оформляется (</w:t>
      </w:r>
      <w:hyperlink r:id="rId29" w:history="1">
        <w:r>
          <w:rPr>
            <w:color w:val="0000FF"/>
          </w:rPr>
          <w:t>п. 5.2</w:t>
        </w:r>
      </w:hyperlink>
      <w:r>
        <w:t xml:space="preserve"> Инструкции).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jc w:val="center"/>
      </w:pPr>
      <w:r>
        <w:t>* * *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ind w:firstLine="540"/>
        <w:jc w:val="both"/>
      </w:pPr>
      <w:r>
        <w:t>Подведем итог. В валютном законодательстве РФ отсутствуют ограничения по осуществлению расчетов при покупке товара за пределами РФ и его перепродаже без завоза на таможенную территорию РФ. Торговая организация, осуществляющая закупку и реализацию импортных товаров без ввоза их на территорию РФ, обязана в установленные сроки представить в уполномоченный банк справку о валютных операциях с приложением подтверждающих документов. При этом указанная организация независимо от цены контракта вправе не оформлять паспорт сделки.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jc w:val="right"/>
      </w:pPr>
      <w:r>
        <w:t>М.С. Звягинцева</w:t>
      </w:r>
    </w:p>
    <w:p w:rsidR="00E609F9" w:rsidRDefault="00E609F9">
      <w:pPr>
        <w:pStyle w:val="ConsPlusNormal"/>
        <w:jc w:val="right"/>
      </w:pPr>
      <w:r>
        <w:t>Эксперт журнала</w:t>
      </w:r>
    </w:p>
    <w:p w:rsidR="00E609F9" w:rsidRDefault="00E609F9">
      <w:pPr>
        <w:pStyle w:val="ConsPlusNormal"/>
        <w:jc w:val="right"/>
      </w:pPr>
      <w:r>
        <w:t>"Торговля:</w:t>
      </w:r>
    </w:p>
    <w:p w:rsidR="00E609F9" w:rsidRDefault="00E609F9">
      <w:pPr>
        <w:pStyle w:val="ConsPlusNormal"/>
        <w:jc w:val="right"/>
      </w:pPr>
      <w:r>
        <w:t>бухгалтерский учет</w:t>
      </w:r>
    </w:p>
    <w:p w:rsidR="00E609F9" w:rsidRDefault="00E609F9">
      <w:pPr>
        <w:pStyle w:val="ConsPlusNormal"/>
        <w:jc w:val="right"/>
      </w:pPr>
      <w:r>
        <w:t>и налогообложение"</w:t>
      </w:r>
    </w:p>
    <w:p w:rsidR="00E609F9" w:rsidRDefault="00E609F9">
      <w:pPr>
        <w:pStyle w:val="ConsPlusNormal"/>
      </w:pPr>
      <w:r>
        <w:t>Подписано в печать</w:t>
      </w:r>
    </w:p>
    <w:p w:rsidR="00E609F9" w:rsidRDefault="00E609F9">
      <w:pPr>
        <w:pStyle w:val="ConsPlusNormal"/>
        <w:spacing w:before="220"/>
      </w:pPr>
      <w:r>
        <w:t>09.03.2017</w:t>
      </w: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jc w:val="both"/>
      </w:pPr>
    </w:p>
    <w:p w:rsidR="00E609F9" w:rsidRDefault="00E609F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089B" w:rsidRDefault="00A8089B">
      <w:bookmarkStart w:id="1" w:name="_GoBack"/>
      <w:bookmarkEnd w:id="1"/>
    </w:p>
    <w:sectPr w:rsidR="00A8089B" w:rsidSect="00B84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F9"/>
    <w:rsid w:val="00A8089B"/>
    <w:rsid w:val="00E6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272F65-D0A9-41AF-913E-CFDE0B8D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09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609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609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BEA4E77F44CB87B42C5CB8C883F9EFD8C1F776E4F30A7BB08EE88B0E3ED231D480C79C1EC88F39mE36F" TargetMode="External"/><Relationship Id="rId13" Type="http://schemas.openxmlformats.org/officeDocument/2006/relationships/hyperlink" Target="consultantplus://offline/ref=BBBEA4E77F44CB87B42C5CB8C883F9EFD8C6F373EFF40926BA86B1870C39DD6EC3878E901BmC3DF" TargetMode="External"/><Relationship Id="rId18" Type="http://schemas.openxmlformats.org/officeDocument/2006/relationships/hyperlink" Target="consultantplus://offline/ref=BBBEA4E77F44CB87B42C5CB8C883F9EFD8C5FA72E0F00526BA86B1870C39DD6EC3878E901FC88F31E6m438F" TargetMode="External"/><Relationship Id="rId26" Type="http://schemas.openxmlformats.org/officeDocument/2006/relationships/hyperlink" Target="consultantplus://offline/ref=BBBEA4E77F44CB87B42C5CB8C883F9EFD8C5FB71EEF60326BA86B1870C39DD6EC3878E901FC88F35E7m433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BBEA4E77F44CB87B42C5CB8C883F9EFD8C5FA72E0F00526BA86B1870C39DD6EC3878E901FC88E39E0m432F" TargetMode="External"/><Relationship Id="rId7" Type="http://schemas.openxmlformats.org/officeDocument/2006/relationships/hyperlink" Target="consultantplus://offline/ref=D614C6569D6BDA3E375A731EE5AA854D561F468B9D2E10E28732CC67BD08l132F" TargetMode="External"/><Relationship Id="rId12" Type="http://schemas.openxmlformats.org/officeDocument/2006/relationships/hyperlink" Target="consultantplus://offline/ref=BBBEA4E77F44CB87B42C5CB8C883F9EFD8C6F373EFF40926BA86B1870C39DD6EC3878E901FC88F31E0m436F" TargetMode="External"/><Relationship Id="rId17" Type="http://schemas.openxmlformats.org/officeDocument/2006/relationships/hyperlink" Target="consultantplus://offline/ref=BBBEA4E77F44CB87B42C5CB8C883F9EFD8C5FA72E0F00526BA86B1870C39DD6EC3878E901FC88F38E4m430F" TargetMode="External"/><Relationship Id="rId25" Type="http://schemas.openxmlformats.org/officeDocument/2006/relationships/hyperlink" Target="consultantplus://offline/ref=BBBEA4E77F44CB87B42C5CB8C883F9EFD8C5FA72E0F00526BA86B1870C39DD6EC3878E901FC88F31EEm439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BBEA4E77F44CB87B42C5CB8C883F9EFD8C5FA72E0F00526BA86B1870C39DD6EC3878E901FC88E39E0m432F" TargetMode="External"/><Relationship Id="rId20" Type="http://schemas.openxmlformats.org/officeDocument/2006/relationships/hyperlink" Target="consultantplus://offline/ref=BBBEA4E77F44CB87B42C5CB8C883F9EFD8C5FA72E0F00526BA86B1870C39DD6EC3878E901FC88F31E4m432F" TargetMode="External"/><Relationship Id="rId29" Type="http://schemas.openxmlformats.org/officeDocument/2006/relationships/hyperlink" Target="consultantplus://offline/ref=BBBEA4E77F44CB87B42C5CB8C883F9EFD8C5FA72E0F00526BA86B1870C39DD6EC3878E90m136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614C6569D6BDA3E375A731EE5AA854D561F468B9D2E10E28732CC67BD081278A86134F24CFCA3CF58l036F" TargetMode="External"/><Relationship Id="rId11" Type="http://schemas.openxmlformats.org/officeDocument/2006/relationships/hyperlink" Target="consultantplus://offline/ref=BBBEA4E77F44CB87B42C5CB8C883F9EFD8C6F373EFF40926BA86B1870C39DD6EC3878E901FC88F31E0m438F" TargetMode="External"/><Relationship Id="rId24" Type="http://schemas.openxmlformats.org/officeDocument/2006/relationships/hyperlink" Target="consultantplus://offline/ref=BBBEA4E77F44CB87B42C5CB8C883F9EFD8C5FA72E0F00526BA86B1870C39DD6EC3878E901FC88F31EEm430F" TargetMode="External"/><Relationship Id="rId5" Type="http://schemas.openxmlformats.org/officeDocument/2006/relationships/hyperlink" Target="consultantplus://offline/ref=D614C6569D6BDA3E375A731EE5AA854D561F468B9D2E10E28732CC67BD081278A86134F24CFCA3CF59l03DF" TargetMode="External"/><Relationship Id="rId15" Type="http://schemas.openxmlformats.org/officeDocument/2006/relationships/hyperlink" Target="consultantplus://offline/ref=BBBEA4E77F44CB87B42C5CB8C883F9EFD8C5FA72E0F00526BA86B1870C39DD6EC3878E901FC88F31E6m435F" TargetMode="External"/><Relationship Id="rId23" Type="http://schemas.openxmlformats.org/officeDocument/2006/relationships/hyperlink" Target="consultantplus://offline/ref=BBBEA4E77F44CB87B42C5CB8C883F9EFD8C5FA72E0F00526BA86B1870C39DD6EC3878E901FC88F31EEm431F" TargetMode="External"/><Relationship Id="rId28" Type="http://schemas.openxmlformats.org/officeDocument/2006/relationships/hyperlink" Target="consultantplus://offline/ref=BBBEA4E77F44CB87B42C5CB8C883F9EFD8C5FB71EEF60326BA86B1870C39DD6EC3878E901FC88F35E7m437F" TargetMode="External"/><Relationship Id="rId10" Type="http://schemas.openxmlformats.org/officeDocument/2006/relationships/hyperlink" Target="consultantplus://offline/ref=BBBEA4E77F44CB87B42C5CB8C883F9EFD8C6F373EFF40926BA86B1870C39DD6EC3878E901FC88F30E3m438F" TargetMode="External"/><Relationship Id="rId19" Type="http://schemas.openxmlformats.org/officeDocument/2006/relationships/hyperlink" Target="consultantplus://offline/ref=BBBEA4E77F44CB87B42C5CB8C883F9EFD8C5FA72E0F00526BA86B1870C39DD6EC3878E901FC88F31E5m432F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BBEA4E77F44CB87B42C5CB8C883F9EFD8C2F670E5F20A7BB08EE88B0E3ED231D480C79C1EC88F38mE30F" TargetMode="External"/><Relationship Id="rId14" Type="http://schemas.openxmlformats.org/officeDocument/2006/relationships/hyperlink" Target="consultantplus://offline/ref=BBBEA4E77F44CB87B42C5CB8C883F9EFD8C5FA72E0F00526BA86B1870C39mD3DF" TargetMode="External"/><Relationship Id="rId22" Type="http://schemas.openxmlformats.org/officeDocument/2006/relationships/hyperlink" Target="consultantplus://offline/ref=BBBEA4E77F44CB87B42C5CB8C883F9EFD8C5FA72E0F00526BA86B1870C39DD6EC3878E9018CAm83BF" TargetMode="External"/><Relationship Id="rId27" Type="http://schemas.openxmlformats.org/officeDocument/2006/relationships/hyperlink" Target="consultantplus://offline/ref=BBBEA4E77F44CB87B42C5CB8C883F9EFD8C5FB71EEF60326BA86B1870C39DD6EC3878E901FC88F35E7m432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2017-12-15T05:55:00Z</dcterms:created>
  <dcterms:modified xsi:type="dcterms:W3CDTF">2017-12-15T05:57:00Z</dcterms:modified>
</cp:coreProperties>
</file>